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C86E2" w14:textId="2E3316CC" w:rsidR="006B7B8E" w:rsidRPr="005C015F" w:rsidRDefault="006B7B8E" w:rsidP="005C015F">
      <w:pPr>
        <w:pBdr>
          <w:bottom w:val="double" w:sz="4" w:space="1" w:color="auto"/>
        </w:pBdr>
        <w:jc w:val="center"/>
        <w:rPr>
          <w:rFonts w:eastAsia="Yu Gothic UI" w:cstheme="minorHAnsi"/>
          <w:b/>
          <w:color w:val="000000"/>
          <w:lang w:val="en-US"/>
        </w:rPr>
      </w:pPr>
      <w:r>
        <w:t>MEMORANDUM SUBMITTED BY THE KENYA PRIVATE SECTOR ALLIANCE (KEPSA) ON THE FINANCE BILL, 2025 TO THE NATIONAL ASSEMBLY DEPARTMENTAL COMMITTEE ON FINANCE AND NATIONAL SUBMITTED ON MAY 30, 2025</w:t>
      </w:r>
    </w:p>
    <w:tbl>
      <w:tblPr>
        <w:tblStyle w:val="TableGrid"/>
        <w:tblW w:w="5000" w:type="pct"/>
        <w:tblLook w:val="04A0" w:firstRow="1" w:lastRow="0" w:firstColumn="1" w:lastColumn="0" w:noHBand="0" w:noVBand="1"/>
      </w:tblPr>
      <w:tblGrid>
        <w:gridCol w:w="422"/>
        <w:gridCol w:w="2552"/>
        <w:gridCol w:w="3401"/>
        <w:gridCol w:w="3827"/>
        <w:gridCol w:w="3746"/>
      </w:tblGrid>
      <w:tr w:rsidR="006B7B8E" w:rsidRPr="004537BE" w14:paraId="5E048ADA" w14:textId="77777777" w:rsidTr="005C015F">
        <w:trPr>
          <w:tblHeader/>
        </w:trPr>
        <w:tc>
          <w:tcPr>
            <w:tcW w:w="151" w:type="pct"/>
          </w:tcPr>
          <w:p w14:paraId="28E09478" w14:textId="77777777" w:rsidR="006B7B8E" w:rsidRPr="004537BE" w:rsidRDefault="006B7B8E" w:rsidP="005C015F">
            <w:pPr>
              <w:rPr>
                <w:rFonts w:cstheme="minorHAnsi"/>
                <w:b/>
                <w:sz w:val="20"/>
                <w:szCs w:val="20"/>
              </w:rPr>
            </w:pPr>
          </w:p>
        </w:tc>
        <w:tc>
          <w:tcPr>
            <w:tcW w:w="915" w:type="pct"/>
          </w:tcPr>
          <w:p w14:paraId="4AAC783D" w14:textId="77777777" w:rsidR="006B7B8E" w:rsidRPr="004537BE" w:rsidRDefault="006B7B8E" w:rsidP="005C015F">
            <w:pPr>
              <w:rPr>
                <w:rFonts w:cstheme="minorHAnsi"/>
                <w:b/>
                <w:sz w:val="20"/>
                <w:szCs w:val="20"/>
                <w:lang w:val="en-US"/>
              </w:rPr>
            </w:pPr>
            <w:r w:rsidRPr="004537BE">
              <w:rPr>
                <w:rFonts w:cstheme="minorHAnsi"/>
                <w:b/>
                <w:sz w:val="20"/>
                <w:szCs w:val="20"/>
                <w:lang w:val="en-US"/>
              </w:rPr>
              <w:t>CLAUSE NUMBER</w:t>
            </w:r>
          </w:p>
        </w:tc>
        <w:tc>
          <w:tcPr>
            <w:tcW w:w="1219" w:type="pct"/>
          </w:tcPr>
          <w:p w14:paraId="558DA249" w14:textId="77777777" w:rsidR="006B7B8E" w:rsidRPr="004537BE" w:rsidRDefault="006B7B8E" w:rsidP="005C015F">
            <w:pPr>
              <w:rPr>
                <w:rFonts w:cstheme="minorHAnsi"/>
                <w:b/>
                <w:sz w:val="20"/>
                <w:szCs w:val="20"/>
                <w:lang w:val="en-US"/>
              </w:rPr>
            </w:pPr>
            <w:r w:rsidRPr="004537BE">
              <w:rPr>
                <w:rFonts w:cstheme="minorHAnsi"/>
                <w:b/>
                <w:sz w:val="20"/>
                <w:szCs w:val="20"/>
                <w:lang w:val="en-US"/>
              </w:rPr>
              <w:t>CONTENT OF THE CLAUSE</w:t>
            </w:r>
          </w:p>
        </w:tc>
        <w:tc>
          <w:tcPr>
            <w:tcW w:w="1372" w:type="pct"/>
          </w:tcPr>
          <w:p w14:paraId="3597BA77" w14:textId="77777777" w:rsidR="006B7B8E" w:rsidRPr="004537BE" w:rsidRDefault="006B7B8E" w:rsidP="005C015F">
            <w:pPr>
              <w:rPr>
                <w:rFonts w:cstheme="minorHAnsi"/>
                <w:b/>
                <w:sz w:val="20"/>
                <w:szCs w:val="20"/>
                <w:lang w:val="en-US"/>
              </w:rPr>
            </w:pPr>
            <w:r w:rsidRPr="004537BE">
              <w:rPr>
                <w:rFonts w:cstheme="minorHAnsi"/>
                <w:b/>
                <w:sz w:val="20"/>
                <w:szCs w:val="20"/>
                <w:lang w:val="en-US"/>
              </w:rPr>
              <w:t>PROPOSED AMENDMENT</w:t>
            </w:r>
          </w:p>
        </w:tc>
        <w:tc>
          <w:tcPr>
            <w:tcW w:w="1343" w:type="pct"/>
          </w:tcPr>
          <w:p w14:paraId="18D928F2" w14:textId="77777777" w:rsidR="006B7B8E" w:rsidRPr="004537BE" w:rsidRDefault="006B7B8E" w:rsidP="005C015F">
            <w:pPr>
              <w:rPr>
                <w:rFonts w:cstheme="minorHAnsi"/>
                <w:b/>
                <w:sz w:val="20"/>
                <w:szCs w:val="20"/>
                <w:lang w:val="en-US"/>
              </w:rPr>
            </w:pPr>
            <w:r w:rsidRPr="004537BE">
              <w:rPr>
                <w:rFonts w:cstheme="minorHAnsi"/>
                <w:b/>
                <w:sz w:val="20"/>
                <w:szCs w:val="20"/>
                <w:lang w:val="en-US"/>
              </w:rPr>
              <w:t>RATIONALE AND JUSTIFICATION</w:t>
            </w:r>
          </w:p>
        </w:tc>
      </w:tr>
      <w:tr w:rsidR="006B7B8E" w:rsidRPr="004537BE" w14:paraId="0CAD39C2" w14:textId="77777777" w:rsidTr="005C015F">
        <w:tc>
          <w:tcPr>
            <w:tcW w:w="151" w:type="pct"/>
          </w:tcPr>
          <w:p w14:paraId="6F4FBD36" w14:textId="77777777" w:rsidR="006B7B8E" w:rsidRPr="004537BE" w:rsidRDefault="006B7B8E" w:rsidP="005C015F">
            <w:pPr>
              <w:pStyle w:val="Heading2"/>
              <w:numPr>
                <w:ilvl w:val="0"/>
                <w:numId w:val="14"/>
              </w:numPr>
              <w:spacing w:before="0" w:after="0"/>
              <w:outlineLvl w:val="1"/>
              <w:rPr>
                <w:rFonts w:asciiTheme="minorHAnsi" w:eastAsia="VAGRounded-Light" w:hAnsiTheme="minorHAnsi" w:cstheme="minorHAnsi"/>
                <w:color w:val="000000" w:themeColor="text1"/>
                <w:szCs w:val="20"/>
              </w:rPr>
            </w:pPr>
          </w:p>
        </w:tc>
        <w:tc>
          <w:tcPr>
            <w:tcW w:w="915" w:type="pct"/>
          </w:tcPr>
          <w:p w14:paraId="1C33F596" w14:textId="1140E55E" w:rsidR="006B7B8E" w:rsidRPr="004537BE" w:rsidRDefault="006B7B8E" w:rsidP="00CD7552">
            <w:pPr>
              <w:pStyle w:val="ListParagraph"/>
              <w:numPr>
                <w:ilvl w:val="0"/>
                <w:numId w:val="15"/>
              </w:numPr>
              <w:spacing w:after="0"/>
              <w:rPr>
                <w:rFonts w:asciiTheme="minorHAnsi" w:hAnsiTheme="minorHAnsi" w:cstheme="minorHAnsi"/>
                <w:bCs/>
                <w:iCs/>
                <w:color w:val="000000" w:themeColor="text1"/>
                <w:szCs w:val="20"/>
              </w:rPr>
            </w:pPr>
            <w:r w:rsidRPr="004537BE">
              <w:rPr>
                <w:rFonts w:asciiTheme="minorHAnsi" w:hAnsiTheme="minorHAnsi" w:cstheme="minorHAnsi"/>
                <w:bCs/>
                <w:iCs/>
                <w:color w:val="000000" w:themeColor="text1"/>
                <w:szCs w:val="20"/>
              </w:rPr>
              <w:t>Section 8(a)(vi) of the Finance Bill,</w:t>
            </w:r>
            <w:r w:rsidR="005C015F" w:rsidRPr="004537BE">
              <w:rPr>
                <w:rFonts w:asciiTheme="minorHAnsi" w:hAnsiTheme="minorHAnsi" w:cstheme="minorHAnsi"/>
                <w:bCs/>
                <w:iCs/>
                <w:color w:val="000000" w:themeColor="text1"/>
                <w:szCs w:val="20"/>
              </w:rPr>
              <w:t xml:space="preserve"> </w:t>
            </w:r>
            <w:r w:rsidRPr="004537BE">
              <w:rPr>
                <w:rFonts w:asciiTheme="minorHAnsi" w:hAnsiTheme="minorHAnsi" w:cstheme="minorHAnsi"/>
                <w:bCs/>
                <w:iCs/>
                <w:color w:val="000000" w:themeColor="text1"/>
                <w:szCs w:val="20"/>
              </w:rPr>
              <w:t>2025</w:t>
            </w:r>
            <w:r w:rsidR="001F2F7D" w:rsidRPr="004537BE">
              <w:rPr>
                <w:rFonts w:asciiTheme="minorHAnsi" w:hAnsiTheme="minorHAnsi" w:cstheme="minorHAnsi"/>
                <w:bCs/>
                <w:iCs/>
                <w:color w:val="000000" w:themeColor="text1"/>
                <w:szCs w:val="20"/>
              </w:rPr>
              <w:t>.</w:t>
            </w:r>
          </w:p>
          <w:p w14:paraId="01ABEF04" w14:textId="77777777" w:rsidR="001F2F7D" w:rsidRPr="004537BE" w:rsidRDefault="001F2F7D" w:rsidP="001F2F7D">
            <w:pPr>
              <w:pStyle w:val="ListParagraph"/>
              <w:spacing w:after="0"/>
              <w:ind w:left="360"/>
              <w:rPr>
                <w:rFonts w:asciiTheme="minorHAnsi" w:hAnsiTheme="minorHAnsi" w:cstheme="minorHAnsi"/>
                <w:bCs/>
                <w:iCs/>
                <w:color w:val="000000" w:themeColor="text1"/>
                <w:szCs w:val="20"/>
              </w:rPr>
            </w:pPr>
          </w:p>
          <w:p w14:paraId="10614E72" w14:textId="07D6E632" w:rsidR="005C015F" w:rsidRPr="004537BE" w:rsidRDefault="005C015F" w:rsidP="001F2F7D">
            <w:pPr>
              <w:pStyle w:val="Heading2"/>
              <w:numPr>
                <w:ilvl w:val="0"/>
                <w:numId w:val="0"/>
              </w:numPr>
              <w:spacing w:before="0" w:after="0"/>
              <w:ind w:left="360"/>
              <w:outlineLvl w:val="1"/>
              <w:rPr>
                <w:rFonts w:asciiTheme="minorHAnsi" w:eastAsia="VAGRounded-Light" w:hAnsiTheme="minorHAnsi" w:cstheme="minorHAnsi"/>
                <w:color w:val="000000" w:themeColor="text1"/>
                <w:szCs w:val="20"/>
              </w:rPr>
            </w:pPr>
            <w:bookmarkStart w:id="0" w:name="_Toc198888993"/>
            <w:r w:rsidRPr="004537BE">
              <w:rPr>
                <w:rFonts w:asciiTheme="minorHAnsi" w:eastAsia="VAGRounded-Light" w:hAnsiTheme="minorHAnsi" w:cstheme="minorHAnsi"/>
                <w:color w:val="000000" w:themeColor="text1"/>
                <w:szCs w:val="20"/>
              </w:rPr>
              <w:t>Non-</w:t>
            </w:r>
            <w:r w:rsidR="006061D0" w:rsidRPr="004537BE">
              <w:rPr>
                <w:rFonts w:asciiTheme="minorHAnsi" w:eastAsia="VAGRounded-Light" w:hAnsiTheme="minorHAnsi" w:cstheme="minorHAnsi"/>
                <w:color w:val="000000" w:themeColor="text1"/>
                <w:szCs w:val="20"/>
              </w:rPr>
              <w:t>Deductibility</w:t>
            </w:r>
            <w:r w:rsidRPr="004537BE">
              <w:rPr>
                <w:rFonts w:asciiTheme="minorHAnsi" w:eastAsia="VAGRounded-Light" w:hAnsiTheme="minorHAnsi" w:cstheme="minorHAnsi"/>
                <w:color w:val="000000" w:themeColor="text1"/>
                <w:szCs w:val="20"/>
              </w:rPr>
              <w:t xml:space="preserve"> of Sports</w:t>
            </w:r>
            <w:bookmarkEnd w:id="0"/>
          </w:p>
          <w:p w14:paraId="57D1C7BA" w14:textId="030970AB" w:rsidR="005C015F" w:rsidRPr="004537BE" w:rsidRDefault="005C015F" w:rsidP="005C015F">
            <w:pPr>
              <w:rPr>
                <w:rFonts w:cstheme="minorHAnsi"/>
                <w:bCs/>
                <w:i/>
                <w:iCs/>
                <w:color w:val="000000" w:themeColor="text1"/>
                <w:sz w:val="20"/>
                <w:szCs w:val="20"/>
              </w:rPr>
            </w:pPr>
          </w:p>
        </w:tc>
        <w:tc>
          <w:tcPr>
            <w:tcW w:w="1219" w:type="pct"/>
          </w:tcPr>
          <w:p w14:paraId="25E8028A" w14:textId="77777777" w:rsidR="006B7B8E" w:rsidRPr="004537BE" w:rsidRDefault="006B7B8E" w:rsidP="00CD7552">
            <w:pPr>
              <w:pStyle w:val="ListParagraph"/>
              <w:numPr>
                <w:ilvl w:val="0"/>
                <w:numId w:val="15"/>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Section 15(2)(z) of the ITA provides that;</w:t>
            </w:r>
          </w:p>
          <w:p w14:paraId="76B8310C" w14:textId="5E1E1671" w:rsidR="006B7B8E" w:rsidRPr="004537BE" w:rsidRDefault="006B7B8E" w:rsidP="005C015F">
            <w:pPr>
              <w:pStyle w:val="ListParagraph"/>
              <w:numPr>
                <w:ilvl w:val="1"/>
                <w:numId w:val="15"/>
              </w:numPr>
              <w:spacing w:after="0"/>
              <w:rPr>
                <w:rFonts w:asciiTheme="minorHAnsi" w:hAnsiTheme="minorHAnsi" w:cstheme="minorHAnsi"/>
                <w:i/>
                <w:iCs/>
                <w:color w:val="000000" w:themeColor="text1"/>
                <w:szCs w:val="20"/>
              </w:rPr>
            </w:pPr>
            <w:r w:rsidRPr="004537BE">
              <w:rPr>
                <w:rFonts w:asciiTheme="minorHAnsi" w:hAnsiTheme="minorHAnsi" w:cstheme="minorHAnsi"/>
                <w:i/>
                <w:iCs/>
                <w:color w:val="000000" w:themeColor="text1"/>
                <w:szCs w:val="20"/>
              </w:rPr>
              <w:t>(z)Expenditure incurred in that year of income by a person sponsoring</w:t>
            </w:r>
            <w:r w:rsidR="00CD7552" w:rsidRPr="004537BE">
              <w:rPr>
                <w:rFonts w:asciiTheme="minorHAnsi" w:hAnsiTheme="minorHAnsi" w:cstheme="minorHAnsi"/>
                <w:i/>
                <w:iCs/>
                <w:color w:val="000000" w:themeColor="text1"/>
                <w:szCs w:val="20"/>
              </w:rPr>
              <w:t xml:space="preserve"> </w:t>
            </w:r>
            <w:r w:rsidRPr="004537BE">
              <w:rPr>
                <w:rFonts w:asciiTheme="minorHAnsi" w:hAnsiTheme="minorHAnsi" w:cstheme="minorHAnsi"/>
                <w:i/>
                <w:iCs/>
                <w:color w:val="000000" w:themeColor="text1"/>
                <w:szCs w:val="20"/>
              </w:rPr>
              <w:t>sports, with the prior approval of the Cabinet Secretary responsible for sports.</w:t>
            </w:r>
          </w:p>
          <w:p w14:paraId="434FE6F6" w14:textId="77777777" w:rsidR="00CD7552" w:rsidRPr="004537BE" w:rsidRDefault="00CD7552" w:rsidP="00CD7552">
            <w:pPr>
              <w:pStyle w:val="ListParagraph"/>
              <w:spacing w:after="0"/>
              <w:ind w:left="1080"/>
              <w:rPr>
                <w:rFonts w:asciiTheme="minorHAnsi" w:hAnsiTheme="minorHAnsi" w:cstheme="minorHAnsi"/>
                <w:i/>
                <w:iCs/>
                <w:color w:val="000000" w:themeColor="text1"/>
                <w:szCs w:val="20"/>
              </w:rPr>
            </w:pPr>
          </w:p>
          <w:p w14:paraId="133E8496" w14:textId="3F5E5B5B" w:rsidR="006B7B8E" w:rsidRPr="004537BE" w:rsidRDefault="006B7B8E" w:rsidP="00CD7552">
            <w:pPr>
              <w:pStyle w:val="ListParagraph"/>
              <w:numPr>
                <w:ilvl w:val="0"/>
                <w:numId w:val="15"/>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This section ensures that taxpayers who sponsor sports </w:t>
            </w:r>
            <w:r w:rsidR="006061D0">
              <w:rPr>
                <w:rFonts w:asciiTheme="minorHAnsi" w:hAnsiTheme="minorHAnsi" w:cstheme="minorHAnsi"/>
                <w:color w:val="000000" w:themeColor="text1"/>
                <w:szCs w:val="20"/>
              </w:rPr>
              <w:t>deduct</w:t>
            </w:r>
            <w:r w:rsidRPr="004537BE">
              <w:rPr>
                <w:rFonts w:asciiTheme="minorHAnsi" w:hAnsiTheme="minorHAnsi" w:cstheme="minorHAnsi"/>
                <w:color w:val="000000" w:themeColor="text1"/>
                <w:szCs w:val="20"/>
              </w:rPr>
              <w:t xml:space="preserve"> such sponsorship when computing </w:t>
            </w:r>
            <w:r w:rsidR="006061D0">
              <w:rPr>
                <w:rFonts w:asciiTheme="minorHAnsi" w:hAnsiTheme="minorHAnsi" w:cstheme="minorHAnsi"/>
                <w:color w:val="000000" w:themeColor="text1"/>
                <w:szCs w:val="20"/>
              </w:rPr>
              <w:t>the gains or profits chargeable to tax for a year of income</w:t>
            </w:r>
            <w:r w:rsidRPr="004537BE">
              <w:rPr>
                <w:rFonts w:asciiTheme="minorHAnsi" w:hAnsiTheme="minorHAnsi" w:cstheme="minorHAnsi"/>
                <w:color w:val="000000" w:themeColor="text1"/>
                <w:szCs w:val="20"/>
              </w:rPr>
              <w:t>.</w:t>
            </w:r>
          </w:p>
          <w:p w14:paraId="60711F45" w14:textId="6B5C3325" w:rsidR="006B7B8E" w:rsidRPr="004537BE" w:rsidRDefault="006B7B8E" w:rsidP="005C015F">
            <w:pPr>
              <w:rPr>
                <w:rFonts w:cstheme="minorHAnsi"/>
                <w:color w:val="000000" w:themeColor="text1"/>
                <w:sz w:val="20"/>
                <w:szCs w:val="20"/>
              </w:rPr>
            </w:pPr>
          </w:p>
        </w:tc>
        <w:tc>
          <w:tcPr>
            <w:tcW w:w="1372" w:type="pct"/>
          </w:tcPr>
          <w:p w14:paraId="6EC97D6B" w14:textId="70E65CA3" w:rsidR="006B7B8E" w:rsidRPr="004537BE" w:rsidRDefault="006B7B8E" w:rsidP="00CD7552">
            <w:pPr>
              <w:pStyle w:val="ListParagraph"/>
              <w:numPr>
                <w:ilvl w:val="0"/>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To ensure businesses continue sponsoring sports, we propose;</w:t>
            </w:r>
          </w:p>
          <w:p w14:paraId="42DD6C87" w14:textId="77777777" w:rsidR="006B7B8E" w:rsidRPr="004537BE" w:rsidRDefault="006B7B8E" w:rsidP="005C015F">
            <w:pPr>
              <w:pStyle w:val="ListParagraph"/>
              <w:numPr>
                <w:ilvl w:val="0"/>
                <w:numId w:val="2"/>
              </w:numPr>
              <w:rPr>
                <w:rFonts w:asciiTheme="minorHAnsi" w:hAnsiTheme="minorHAnsi" w:cstheme="minorHAnsi"/>
                <w:bCs/>
                <w:color w:val="000000" w:themeColor="text1"/>
                <w:szCs w:val="20"/>
              </w:rPr>
            </w:pPr>
            <w:r w:rsidRPr="004537BE">
              <w:rPr>
                <w:rFonts w:asciiTheme="minorHAnsi" w:hAnsiTheme="minorHAnsi" w:cstheme="minorHAnsi"/>
                <w:bCs/>
                <w:color w:val="000000" w:themeColor="text1"/>
                <w:szCs w:val="20"/>
              </w:rPr>
              <w:t>Deletion of Section 8(a)(vi) of the Finance Bill,2025</w:t>
            </w:r>
          </w:p>
          <w:p w14:paraId="43995E38" w14:textId="1B68A616" w:rsidR="006B7B8E" w:rsidRPr="004537BE" w:rsidRDefault="006B7B8E" w:rsidP="005C015F">
            <w:pPr>
              <w:pStyle w:val="ListParagraph"/>
              <w:numPr>
                <w:ilvl w:val="0"/>
                <w:numId w:val="2"/>
              </w:numPr>
              <w:rPr>
                <w:rFonts w:asciiTheme="minorHAnsi" w:hAnsiTheme="minorHAnsi" w:cstheme="minorHAnsi"/>
                <w:bCs/>
                <w:color w:val="000000" w:themeColor="text1"/>
                <w:szCs w:val="20"/>
              </w:rPr>
            </w:pPr>
            <w:r w:rsidRPr="004537BE">
              <w:rPr>
                <w:rFonts w:asciiTheme="minorHAnsi" w:hAnsiTheme="minorHAnsi" w:cstheme="minorHAnsi"/>
                <w:bCs/>
                <w:color w:val="000000" w:themeColor="text1"/>
                <w:szCs w:val="20"/>
              </w:rPr>
              <w:t xml:space="preserve">Amendment of section 15(2)(z) </w:t>
            </w:r>
            <w:r w:rsidR="00CD7552" w:rsidRPr="004537BE">
              <w:rPr>
                <w:rFonts w:asciiTheme="minorHAnsi" w:hAnsiTheme="minorHAnsi" w:cstheme="minorHAnsi"/>
                <w:bCs/>
                <w:color w:val="000000" w:themeColor="text1"/>
                <w:szCs w:val="20"/>
              </w:rPr>
              <w:t xml:space="preserve">of ITA </w:t>
            </w:r>
            <w:r w:rsidRPr="004537BE">
              <w:rPr>
                <w:rFonts w:asciiTheme="minorHAnsi" w:hAnsiTheme="minorHAnsi" w:cstheme="minorHAnsi"/>
                <w:bCs/>
                <w:color w:val="000000" w:themeColor="text1"/>
                <w:szCs w:val="20"/>
              </w:rPr>
              <w:t>to read as follows.</w:t>
            </w:r>
          </w:p>
          <w:p w14:paraId="6DC068C0" w14:textId="72A8C285" w:rsidR="006B7B8E" w:rsidRPr="004537BE" w:rsidRDefault="006B7B8E" w:rsidP="00CD7552">
            <w:pPr>
              <w:ind w:left="360"/>
              <w:rPr>
                <w:rFonts w:cstheme="minorHAnsi"/>
                <w:bCs/>
                <w:i/>
                <w:iCs/>
                <w:color w:val="000000" w:themeColor="text1"/>
                <w:sz w:val="20"/>
                <w:szCs w:val="20"/>
              </w:rPr>
            </w:pPr>
            <w:r w:rsidRPr="004537BE">
              <w:rPr>
                <w:rFonts w:cstheme="minorHAnsi"/>
                <w:bCs/>
                <w:i/>
                <w:iCs/>
                <w:color w:val="000000" w:themeColor="text1"/>
                <w:sz w:val="20"/>
                <w:szCs w:val="20"/>
              </w:rPr>
              <w:t>(z)</w:t>
            </w:r>
            <w:r w:rsidR="00CD7552" w:rsidRPr="004537BE">
              <w:rPr>
                <w:rFonts w:cstheme="minorHAnsi"/>
                <w:bCs/>
                <w:i/>
                <w:iCs/>
                <w:color w:val="000000" w:themeColor="text1"/>
                <w:sz w:val="20"/>
                <w:szCs w:val="20"/>
                <w:lang w:val="en-US"/>
              </w:rPr>
              <w:t xml:space="preserve"> </w:t>
            </w:r>
            <w:r w:rsidRPr="004537BE">
              <w:rPr>
                <w:rFonts w:cstheme="minorHAnsi"/>
                <w:bCs/>
                <w:i/>
                <w:iCs/>
                <w:color w:val="000000" w:themeColor="text1"/>
                <w:sz w:val="20"/>
                <w:szCs w:val="20"/>
              </w:rPr>
              <w:t>Expenditure incurred in that year of income by a person sponsoring sports</w:t>
            </w:r>
          </w:p>
        </w:tc>
        <w:tc>
          <w:tcPr>
            <w:tcW w:w="1343" w:type="pct"/>
          </w:tcPr>
          <w:p w14:paraId="12AC974E" w14:textId="4F7D5F7A" w:rsidR="001F2F7D" w:rsidRPr="004537BE" w:rsidRDefault="006061D0" w:rsidP="001F2F7D">
            <w:pPr>
              <w:pStyle w:val="ListParagraph"/>
              <w:numPr>
                <w:ilvl w:val="0"/>
                <w:numId w:val="16"/>
              </w:numPr>
              <w:spacing w:after="0"/>
              <w:rPr>
                <w:rFonts w:asciiTheme="minorHAnsi" w:hAnsiTheme="minorHAnsi" w:cstheme="minorHAnsi"/>
                <w:color w:val="000000" w:themeColor="text1"/>
                <w:szCs w:val="20"/>
              </w:rPr>
            </w:pPr>
            <w:r>
              <w:rPr>
                <w:rFonts w:asciiTheme="minorHAnsi" w:hAnsiTheme="minorHAnsi" w:cstheme="minorHAnsi"/>
                <w:color w:val="000000" w:themeColor="text1"/>
                <w:szCs w:val="20"/>
              </w:rPr>
              <w:t>Corporate sponsorship's role</w:t>
            </w:r>
            <w:r w:rsidR="006B7B8E" w:rsidRPr="004537BE">
              <w:rPr>
                <w:rFonts w:asciiTheme="minorHAnsi" w:hAnsiTheme="minorHAnsi" w:cstheme="minorHAnsi"/>
                <w:color w:val="000000" w:themeColor="text1"/>
                <w:szCs w:val="20"/>
              </w:rPr>
              <w:t xml:space="preserve"> in the development of sports in Kenya cannot be overstated. Businesses have consistently invested substantial resources in identifying, nurturing, and promoting talent across various sporting disciplines.</w:t>
            </w:r>
          </w:p>
          <w:p w14:paraId="1341AC4D" w14:textId="136B000D" w:rsidR="001F2F7D" w:rsidRPr="004537BE" w:rsidRDefault="006B7B8E" w:rsidP="005C015F">
            <w:pPr>
              <w:pStyle w:val="ListParagraph"/>
              <w:numPr>
                <w:ilvl w:val="0"/>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These sponsorships </w:t>
            </w:r>
            <w:r w:rsidR="006061D0">
              <w:rPr>
                <w:rFonts w:asciiTheme="minorHAnsi" w:hAnsiTheme="minorHAnsi" w:cstheme="minorHAnsi"/>
                <w:color w:val="000000" w:themeColor="text1"/>
                <w:szCs w:val="20"/>
              </w:rPr>
              <w:t>facilitate access to training, equipment, and exposure for athletes and</w:t>
            </w:r>
            <w:r w:rsidRPr="004537BE">
              <w:rPr>
                <w:rFonts w:asciiTheme="minorHAnsi" w:hAnsiTheme="minorHAnsi" w:cstheme="minorHAnsi"/>
                <w:color w:val="000000" w:themeColor="text1"/>
                <w:szCs w:val="20"/>
              </w:rPr>
              <w:t xml:space="preserve"> contribute significantly to national unity, youth empowerment, and economic development through job creation and tourism.</w:t>
            </w:r>
          </w:p>
          <w:p w14:paraId="67E444B9" w14:textId="77777777" w:rsidR="006B7B8E" w:rsidRDefault="006B7B8E" w:rsidP="005C015F">
            <w:pPr>
              <w:pStyle w:val="ListParagraph"/>
              <w:numPr>
                <w:ilvl w:val="0"/>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The proposed Section 8(a)(vi) of the Finance Bill, 2025, if enacted, would </w:t>
            </w:r>
            <w:proofErr w:type="spellStart"/>
            <w:r w:rsidR="006061D0">
              <w:rPr>
                <w:rFonts w:asciiTheme="minorHAnsi" w:hAnsiTheme="minorHAnsi" w:cstheme="minorHAnsi"/>
                <w:color w:val="000000" w:themeColor="text1"/>
                <w:szCs w:val="20"/>
              </w:rPr>
              <w:t>disincentivise</w:t>
            </w:r>
            <w:proofErr w:type="spellEnd"/>
            <w:r w:rsidRPr="004537BE">
              <w:rPr>
                <w:rFonts w:asciiTheme="minorHAnsi" w:hAnsiTheme="minorHAnsi" w:cstheme="minorHAnsi"/>
                <w:color w:val="000000" w:themeColor="text1"/>
                <w:szCs w:val="20"/>
              </w:rPr>
              <w:t xml:space="preserve"> corporate sponsorship of sports by removing or limiting the tax deductibility of such expenditures. This would place an additional tax burden on businesses and likely result in reduced or withdrawn support for sporting initiatives.</w:t>
            </w:r>
          </w:p>
          <w:p w14:paraId="2AAEBD9F" w14:textId="587DDCF1" w:rsidR="006061D0" w:rsidRPr="004537BE" w:rsidRDefault="006061D0" w:rsidP="006061D0">
            <w:pPr>
              <w:pStyle w:val="ListParagraph"/>
              <w:spacing w:after="0"/>
              <w:ind w:left="360"/>
              <w:rPr>
                <w:rFonts w:asciiTheme="minorHAnsi" w:hAnsiTheme="minorHAnsi" w:cstheme="minorHAnsi"/>
                <w:color w:val="000000" w:themeColor="text1"/>
                <w:szCs w:val="20"/>
              </w:rPr>
            </w:pPr>
          </w:p>
        </w:tc>
      </w:tr>
      <w:tr w:rsidR="006B7B8E" w:rsidRPr="004537BE" w14:paraId="6D603D21" w14:textId="77777777" w:rsidTr="005C015F">
        <w:tc>
          <w:tcPr>
            <w:tcW w:w="151" w:type="pct"/>
          </w:tcPr>
          <w:p w14:paraId="6C8D7568" w14:textId="77777777" w:rsidR="006B7B8E" w:rsidRPr="004537BE" w:rsidRDefault="006B7B8E" w:rsidP="005C015F">
            <w:pPr>
              <w:pStyle w:val="ListParagraph"/>
              <w:numPr>
                <w:ilvl w:val="0"/>
                <w:numId w:val="14"/>
              </w:numPr>
              <w:spacing w:after="0"/>
              <w:rPr>
                <w:rFonts w:asciiTheme="minorHAnsi" w:hAnsiTheme="minorHAnsi" w:cstheme="minorHAnsi"/>
                <w:bCs/>
                <w:color w:val="000000" w:themeColor="text1"/>
                <w:szCs w:val="20"/>
              </w:rPr>
            </w:pPr>
          </w:p>
        </w:tc>
        <w:tc>
          <w:tcPr>
            <w:tcW w:w="915" w:type="pct"/>
          </w:tcPr>
          <w:p w14:paraId="09DDFDE3" w14:textId="77777777" w:rsidR="006B7B8E" w:rsidRPr="004537BE" w:rsidRDefault="006B7B8E" w:rsidP="001F2F7D">
            <w:pPr>
              <w:pStyle w:val="ListParagraph"/>
              <w:numPr>
                <w:ilvl w:val="0"/>
                <w:numId w:val="16"/>
              </w:numPr>
              <w:spacing w:after="0"/>
              <w:rPr>
                <w:rFonts w:asciiTheme="minorHAnsi" w:hAnsiTheme="minorHAnsi" w:cstheme="minorHAnsi"/>
                <w:bCs/>
                <w:color w:val="000000" w:themeColor="text1"/>
                <w:szCs w:val="20"/>
              </w:rPr>
            </w:pPr>
            <w:r w:rsidRPr="004537BE">
              <w:rPr>
                <w:rFonts w:asciiTheme="minorHAnsi" w:hAnsiTheme="minorHAnsi" w:cstheme="minorHAnsi"/>
                <w:bCs/>
                <w:color w:val="000000" w:themeColor="text1"/>
                <w:szCs w:val="20"/>
              </w:rPr>
              <w:t>Section 8(c) and (d) of the Finance Bill 2025.</w:t>
            </w:r>
          </w:p>
          <w:p w14:paraId="24619E8B" w14:textId="77777777" w:rsidR="006B7B8E" w:rsidRPr="004537BE" w:rsidRDefault="006B7B8E" w:rsidP="005C015F">
            <w:pPr>
              <w:rPr>
                <w:rFonts w:cstheme="minorHAnsi"/>
                <w:color w:val="000000" w:themeColor="text1"/>
                <w:sz w:val="20"/>
                <w:szCs w:val="20"/>
              </w:rPr>
            </w:pPr>
          </w:p>
          <w:p w14:paraId="35031843" w14:textId="77777777" w:rsidR="001F2F7D" w:rsidRPr="004537BE" w:rsidRDefault="006B7B8E" w:rsidP="001F2F7D">
            <w:pPr>
              <w:ind w:left="360"/>
              <w:rPr>
                <w:rFonts w:cstheme="minorHAnsi"/>
                <w:color w:val="000000" w:themeColor="text1"/>
                <w:sz w:val="20"/>
                <w:szCs w:val="20"/>
              </w:rPr>
            </w:pPr>
            <w:r w:rsidRPr="004537BE">
              <w:rPr>
                <w:rFonts w:cstheme="minorHAnsi"/>
                <w:color w:val="000000" w:themeColor="text1"/>
                <w:sz w:val="20"/>
                <w:szCs w:val="20"/>
              </w:rPr>
              <w:t xml:space="preserve">Amendment of Section 15 (4) </w:t>
            </w:r>
            <w:r w:rsidRPr="004537BE">
              <w:rPr>
                <w:rFonts w:eastAsia="Calibri" w:cstheme="minorHAnsi"/>
                <w:color w:val="000000" w:themeColor="text1"/>
                <w:sz w:val="20"/>
                <w:szCs w:val="20"/>
              </w:rPr>
              <w:t>and repealing 15(5)</w:t>
            </w:r>
            <w:r w:rsidRPr="004537BE">
              <w:rPr>
                <w:rFonts w:cstheme="minorHAnsi"/>
                <w:color w:val="000000" w:themeColor="text1"/>
                <w:sz w:val="20"/>
                <w:szCs w:val="20"/>
              </w:rPr>
              <w:t xml:space="preserve"> of the Income Tax Act.</w:t>
            </w:r>
          </w:p>
          <w:p w14:paraId="244EF155" w14:textId="77777777" w:rsidR="001F2F7D" w:rsidRPr="004537BE" w:rsidRDefault="001F2F7D" w:rsidP="001F2F7D">
            <w:pPr>
              <w:ind w:left="360"/>
              <w:rPr>
                <w:rFonts w:cstheme="minorHAnsi"/>
                <w:color w:val="000000" w:themeColor="text1"/>
                <w:sz w:val="20"/>
                <w:szCs w:val="20"/>
              </w:rPr>
            </w:pPr>
          </w:p>
          <w:p w14:paraId="5AEAA1D1" w14:textId="52C680FB" w:rsidR="006B7B8E" w:rsidRPr="004537BE" w:rsidRDefault="006B7B8E" w:rsidP="001F2F7D">
            <w:pPr>
              <w:ind w:left="360"/>
              <w:rPr>
                <w:rFonts w:cstheme="minorHAnsi"/>
                <w:i/>
                <w:color w:val="000000" w:themeColor="text1"/>
                <w:sz w:val="20"/>
                <w:szCs w:val="20"/>
              </w:rPr>
            </w:pPr>
            <w:r w:rsidRPr="004537BE">
              <w:rPr>
                <w:rFonts w:cstheme="minorHAnsi"/>
                <w:i/>
                <w:color w:val="000000" w:themeColor="text1"/>
                <w:sz w:val="20"/>
                <w:szCs w:val="20"/>
              </w:rPr>
              <w:t>Limitation of period to carry forward tax losses</w:t>
            </w:r>
          </w:p>
          <w:p w14:paraId="764EBEA4" w14:textId="77777777" w:rsidR="006B7B8E" w:rsidRPr="004537BE" w:rsidRDefault="006B7B8E" w:rsidP="005C015F">
            <w:pPr>
              <w:rPr>
                <w:rFonts w:cstheme="minorHAnsi"/>
                <w:color w:val="000000" w:themeColor="text1"/>
                <w:sz w:val="20"/>
                <w:szCs w:val="20"/>
              </w:rPr>
            </w:pPr>
          </w:p>
          <w:p w14:paraId="45F4931D" w14:textId="77777777" w:rsidR="006B7B8E" w:rsidRPr="004537BE" w:rsidRDefault="006B7B8E" w:rsidP="005C015F">
            <w:pPr>
              <w:rPr>
                <w:rFonts w:cstheme="minorHAnsi"/>
                <w:color w:val="000000" w:themeColor="text1"/>
                <w:sz w:val="20"/>
                <w:szCs w:val="20"/>
                <w:highlight w:val="yellow"/>
              </w:rPr>
            </w:pPr>
          </w:p>
        </w:tc>
        <w:tc>
          <w:tcPr>
            <w:tcW w:w="1219" w:type="pct"/>
          </w:tcPr>
          <w:p w14:paraId="5D8CC3E2" w14:textId="77777777" w:rsidR="001F2F7D" w:rsidRPr="004537BE" w:rsidRDefault="006B7B8E" w:rsidP="005C015F">
            <w:pPr>
              <w:pStyle w:val="ListParagraph"/>
              <w:numPr>
                <w:ilvl w:val="0"/>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 xml:space="preserve">The Bill proposes to reintroduce limitation of the period of utilisation of tax losses through amendment of Section 15(4) of the Income Tax Act (“ITA”). As per the proposal, tax losses shall only be available for utilisation in the </w:t>
            </w:r>
            <w:r w:rsidRPr="004537BE">
              <w:rPr>
                <w:rFonts w:asciiTheme="minorHAnsi" w:hAnsiTheme="minorHAnsi" w:cstheme="minorHAnsi"/>
                <w:color w:val="000000" w:themeColor="text1"/>
                <w:szCs w:val="20"/>
              </w:rPr>
              <w:lastRenderedPageBreak/>
              <w:t>year of income in which they arise and the succeeding five years of income.</w:t>
            </w:r>
          </w:p>
          <w:p w14:paraId="22F56E3E" w14:textId="21B2A5BB" w:rsidR="006B7B8E" w:rsidRPr="004537BE" w:rsidRDefault="006B7B8E" w:rsidP="005C015F">
            <w:pPr>
              <w:pStyle w:val="ListParagraph"/>
              <w:numPr>
                <w:ilvl w:val="0"/>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The Bill has not provided room for extension of the period beyond the five years. Instead, the Bill proposes to repeal the provision that allowed the Commissioner to extend the tax loss utilisation period beyond 10 years </w:t>
            </w:r>
            <w:r w:rsidR="001F2F7D" w:rsidRPr="004537BE">
              <w:rPr>
                <w:rFonts w:asciiTheme="minorHAnsi" w:hAnsiTheme="minorHAnsi" w:cstheme="minorHAnsi"/>
                <w:color w:val="000000" w:themeColor="text1"/>
                <w:szCs w:val="20"/>
              </w:rPr>
              <w:t>pre-2022</w:t>
            </w:r>
            <w:r w:rsidRPr="004537BE">
              <w:rPr>
                <w:rFonts w:asciiTheme="minorHAnsi" w:hAnsiTheme="minorHAnsi" w:cstheme="minorHAnsi"/>
                <w:color w:val="000000" w:themeColor="text1"/>
                <w:szCs w:val="20"/>
              </w:rPr>
              <w:t xml:space="preserve"> in section 15(5),</w:t>
            </w:r>
          </w:p>
        </w:tc>
        <w:tc>
          <w:tcPr>
            <w:tcW w:w="1372" w:type="pct"/>
          </w:tcPr>
          <w:p w14:paraId="452B1A69" w14:textId="24941A1B" w:rsidR="006061D0" w:rsidRDefault="006B7B8E" w:rsidP="006061D0">
            <w:pPr>
              <w:pStyle w:val="ListParagraph"/>
              <w:numPr>
                <w:ilvl w:val="0"/>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We recommend that section 15(4) of the ITA</w:t>
            </w:r>
            <w:r w:rsidR="006061D0">
              <w:rPr>
                <w:rFonts w:asciiTheme="minorHAnsi" w:hAnsiTheme="minorHAnsi" w:cstheme="minorHAnsi"/>
                <w:color w:val="000000" w:themeColor="text1"/>
                <w:szCs w:val="20"/>
              </w:rPr>
              <w:t>, which provides for the indefinite carry-forward of tax losses,</w:t>
            </w:r>
            <w:r w:rsidRPr="004537BE">
              <w:rPr>
                <w:rFonts w:asciiTheme="minorHAnsi" w:hAnsiTheme="minorHAnsi" w:cstheme="minorHAnsi"/>
                <w:color w:val="000000" w:themeColor="text1"/>
                <w:szCs w:val="20"/>
              </w:rPr>
              <w:t xml:space="preserve"> be retained</w:t>
            </w:r>
            <w:r w:rsidR="006061D0">
              <w:rPr>
                <w:rFonts w:asciiTheme="minorHAnsi" w:hAnsiTheme="minorHAnsi" w:cstheme="minorHAnsi"/>
                <w:color w:val="000000" w:themeColor="text1"/>
                <w:szCs w:val="20"/>
              </w:rPr>
              <w:t>.</w:t>
            </w:r>
          </w:p>
          <w:p w14:paraId="277E9644" w14:textId="55B3B4B6" w:rsidR="006061D0" w:rsidRDefault="006061D0" w:rsidP="006061D0">
            <w:pPr>
              <w:pStyle w:val="ListParagraph"/>
              <w:numPr>
                <w:ilvl w:val="0"/>
                <w:numId w:val="16"/>
              </w:numPr>
              <w:spacing w:after="0"/>
              <w:rPr>
                <w:rFonts w:asciiTheme="minorHAnsi" w:hAnsiTheme="minorHAnsi" w:cstheme="minorHAnsi"/>
                <w:color w:val="000000" w:themeColor="text1"/>
                <w:szCs w:val="20"/>
              </w:rPr>
            </w:pPr>
            <w:r w:rsidRPr="006061D0">
              <w:rPr>
                <w:rFonts w:asciiTheme="minorHAnsi" w:hAnsiTheme="minorHAnsi" w:cstheme="minorHAnsi"/>
                <w:b/>
                <w:bCs/>
                <w:color w:val="000000" w:themeColor="text1"/>
                <w:szCs w:val="20"/>
              </w:rPr>
              <w:t xml:space="preserve">Tax losses represent </w:t>
            </w:r>
            <w:proofErr w:type="spellStart"/>
            <w:r w:rsidRPr="006061D0">
              <w:rPr>
                <w:rFonts w:cstheme="minorHAnsi"/>
                <w:b/>
                <w:bCs/>
                <w:color w:val="000000" w:themeColor="text1"/>
                <w:szCs w:val="20"/>
              </w:rPr>
              <w:t>unutilised</w:t>
            </w:r>
            <w:proofErr w:type="spellEnd"/>
            <w:r w:rsidRPr="006061D0">
              <w:rPr>
                <w:rFonts w:asciiTheme="minorHAnsi" w:hAnsiTheme="minorHAnsi" w:cstheme="minorHAnsi"/>
                <w:b/>
                <w:bCs/>
                <w:color w:val="000000" w:themeColor="text1"/>
                <w:szCs w:val="20"/>
              </w:rPr>
              <w:t xml:space="preserve"> business expenses, not a tax-avoidance scheme.</w:t>
            </w:r>
            <w:r w:rsidRPr="006061D0">
              <w:rPr>
                <w:rFonts w:asciiTheme="minorHAnsi" w:hAnsiTheme="minorHAnsi" w:cstheme="minorHAnsi"/>
                <w:color w:val="000000" w:themeColor="text1"/>
                <w:szCs w:val="20"/>
              </w:rPr>
              <w:t xml:space="preserve"> In accounting and </w:t>
            </w:r>
            <w:r w:rsidRPr="006061D0">
              <w:rPr>
                <w:rFonts w:asciiTheme="minorHAnsi" w:hAnsiTheme="minorHAnsi" w:cstheme="minorHAnsi"/>
                <w:color w:val="000000" w:themeColor="text1"/>
                <w:szCs w:val="20"/>
              </w:rPr>
              <w:lastRenderedPageBreak/>
              <w:t xml:space="preserve">law, taxable profit is gross income minus all </w:t>
            </w:r>
            <w:r>
              <w:rPr>
                <w:rFonts w:asciiTheme="minorHAnsi" w:hAnsiTheme="minorHAnsi" w:cstheme="minorHAnsi"/>
                <w:color w:val="000000" w:themeColor="text1"/>
                <w:szCs w:val="20"/>
              </w:rPr>
              <w:t>costs</w:t>
            </w:r>
            <w:r w:rsidRPr="006061D0">
              <w:rPr>
                <w:rFonts w:asciiTheme="minorHAnsi" w:hAnsiTheme="minorHAnsi" w:cstheme="minorHAnsi"/>
                <w:color w:val="000000" w:themeColor="text1"/>
                <w:szCs w:val="20"/>
              </w:rPr>
              <w:t xml:space="preserve"> incurred in producing that income. </w:t>
            </w:r>
          </w:p>
          <w:p w14:paraId="3EE490C1" w14:textId="27BFA835" w:rsidR="006061D0" w:rsidRDefault="006061D0" w:rsidP="006061D0">
            <w:pPr>
              <w:pStyle w:val="ListParagraph"/>
              <w:numPr>
                <w:ilvl w:val="0"/>
                <w:numId w:val="16"/>
              </w:numPr>
              <w:spacing w:after="0"/>
              <w:rPr>
                <w:rFonts w:asciiTheme="minorHAnsi" w:hAnsiTheme="minorHAnsi" w:cstheme="minorHAnsi"/>
                <w:color w:val="000000" w:themeColor="text1"/>
                <w:szCs w:val="20"/>
              </w:rPr>
            </w:pPr>
            <w:r w:rsidRPr="006061D0">
              <w:rPr>
                <w:rFonts w:asciiTheme="minorHAnsi" w:hAnsiTheme="minorHAnsi" w:cstheme="minorHAnsi"/>
                <w:color w:val="000000" w:themeColor="text1"/>
                <w:szCs w:val="20"/>
              </w:rPr>
              <w:t>A tax loss occurs when allowable expenses exceed revenue in a year</w:t>
            </w:r>
            <w:r>
              <w:rPr>
                <w:rFonts w:asciiTheme="minorHAnsi" w:hAnsiTheme="minorHAnsi" w:cstheme="minorHAnsi"/>
                <w:color w:val="000000" w:themeColor="text1"/>
                <w:szCs w:val="20"/>
              </w:rPr>
              <w:t>,</w:t>
            </w:r>
            <w:r w:rsidRPr="006061D0">
              <w:rPr>
                <w:rFonts w:asciiTheme="minorHAnsi" w:hAnsiTheme="minorHAnsi" w:cstheme="minorHAnsi"/>
                <w:color w:val="000000" w:themeColor="text1"/>
                <w:szCs w:val="20"/>
              </w:rPr>
              <w:t xml:space="preserve"> meaning the business made a genuine economic loss.</w:t>
            </w:r>
          </w:p>
          <w:p w14:paraId="1E4758E0" w14:textId="5E96F414" w:rsidR="006061D0" w:rsidRPr="006061D0" w:rsidRDefault="006061D0" w:rsidP="006061D0">
            <w:pPr>
              <w:pStyle w:val="ListParagraph"/>
              <w:numPr>
                <w:ilvl w:val="0"/>
                <w:numId w:val="16"/>
              </w:numPr>
              <w:spacing w:after="0"/>
              <w:rPr>
                <w:rFonts w:asciiTheme="minorHAnsi" w:hAnsiTheme="minorHAnsi" w:cstheme="minorHAnsi"/>
                <w:b/>
                <w:bCs/>
                <w:color w:val="000000" w:themeColor="text1"/>
                <w:szCs w:val="20"/>
              </w:rPr>
            </w:pPr>
            <w:r w:rsidRPr="006061D0">
              <w:rPr>
                <w:rFonts w:asciiTheme="minorHAnsi" w:hAnsiTheme="minorHAnsi" w:cstheme="minorHAnsi"/>
                <w:b/>
                <w:bCs/>
                <w:color w:val="000000" w:themeColor="text1"/>
                <w:szCs w:val="20"/>
              </w:rPr>
              <w:t xml:space="preserve">The loss carryforward mechanism allows those excess costs to be </w:t>
            </w:r>
            <w:proofErr w:type="spellStart"/>
            <w:r w:rsidRPr="006061D0">
              <w:rPr>
                <w:rFonts w:asciiTheme="minorHAnsi" w:hAnsiTheme="minorHAnsi" w:cstheme="minorHAnsi"/>
                <w:b/>
                <w:bCs/>
                <w:color w:val="000000" w:themeColor="text1"/>
                <w:szCs w:val="20"/>
              </w:rPr>
              <w:t>recognised</w:t>
            </w:r>
            <w:proofErr w:type="spellEnd"/>
            <w:r w:rsidRPr="006061D0">
              <w:rPr>
                <w:rFonts w:asciiTheme="minorHAnsi" w:hAnsiTheme="minorHAnsi" w:cstheme="minorHAnsi"/>
                <w:b/>
                <w:bCs/>
                <w:color w:val="000000" w:themeColor="text1"/>
                <w:szCs w:val="20"/>
              </w:rPr>
              <w:t xml:space="preserve"> against future profits, so that </w:t>
            </w:r>
            <w:r w:rsidR="00AB28C5">
              <w:rPr>
                <w:rFonts w:asciiTheme="minorHAnsi" w:hAnsiTheme="minorHAnsi" w:cstheme="minorHAnsi"/>
                <w:b/>
                <w:bCs/>
                <w:color w:val="000000" w:themeColor="text1"/>
                <w:szCs w:val="20"/>
              </w:rPr>
              <w:t>a company is taxed on its actual net income (if it eventually becomes profitable) over time</w:t>
            </w:r>
            <w:r w:rsidRPr="006061D0">
              <w:rPr>
                <w:rFonts w:asciiTheme="minorHAnsi" w:hAnsiTheme="minorHAnsi" w:cstheme="minorHAnsi"/>
                <w:b/>
                <w:bCs/>
                <w:color w:val="000000" w:themeColor="text1"/>
                <w:szCs w:val="20"/>
              </w:rPr>
              <w:t>.</w:t>
            </w:r>
          </w:p>
          <w:p w14:paraId="44B34572" w14:textId="77777777" w:rsidR="00AB28C5" w:rsidRDefault="00AB28C5" w:rsidP="001F2F7D">
            <w:pPr>
              <w:pStyle w:val="ListParagraph"/>
              <w:numPr>
                <w:ilvl w:val="0"/>
                <w:numId w:val="16"/>
              </w:numPr>
              <w:spacing w:after="0"/>
              <w:rPr>
                <w:rFonts w:asciiTheme="minorHAnsi" w:hAnsiTheme="minorHAnsi" w:cstheme="minorHAnsi"/>
                <w:color w:val="000000" w:themeColor="text1"/>
                <w:szCs w:val="20"/>
              </w:rPr>
            </w:pPr>
            <w:r w:rsidRPr="00B37F9B">
              <w:rPr>
                <w:rFonts w:asciiTheme="minorHAnsi" w:hAnsiTheme="minorHAnsi" w:cstheme="minorHAnsi"/>
                <w:color w:val="000000" w:themeColor="text1"/>
                <w:szCs w:val="20"/>
              </w:rPr>
              <w:t xml:space="preserve">From </w:t>
            </w:r>
            <w:r w:rsidRPr="00B37F9B">
              <w:rPr>
                <w:rFonts w:asciiTheme="minorHAnsi" w:hAnsiTheme="minorHAnsi" w:cstheme="minorHAnsi"/>
                <w:b/>
                <w:bCs/>
                <w:color w:val="000000" w:themeColor="text1"/>
                <w:szCs w:val="20"/>
              </w:rPr>
              <w:t>an economic perspective</w:t>
            </w:r>
            <w:r w:rsidRPr="00B37F9B">
              <w:rPr>
                <w:rFonts w:asciiTheme="minorHAnsi" w:hAnsiTheme="minorHAnsi" w:cstheme="minorHAnsi"/>
                <w:color w:val="000000" w:themeColor="text1"/>
                <w:szCs w:val="20"/>
              </w:rPr>
              <w:t>, tax losses signal past investments or operating costs that haven’t yielded returns yet.</w:t>
            </w:r>
          </w:p>
          <w:p w14:paraId="3C93138B" w14:textId="62692CA5" w:rsidR="006B7B8E" w:rsidRPr="004537BE" w:rsidRDefault="00AB28C5" w:rsidP="001F2F7D">
            <w:pPr>
              <w:pStyle w:val="ListParagraph"/>
              <w:numPr>
                <w:ilvl w:val="0"/>
                <w:numId w:val="16"/>
              </w:numPr>
              <w:spacing w:after="0"/>
              <w:rPr>
                <w:rFonts w:asciiTheme="minorHAnsi" w:hAnsiTheme="minorHAnsi" w:cstheme="minorHAnsi"/>
                <w:color w:val="000000" w:themeColor="text1"/>
                <w:szCs w:val="20"/>
              </w:rPr>
            </w:pPr>
            <w:r>
              <w:rPr>
                <w:rFonts w:asciiTheme="minorHAnsi" w:hAnsiTheme="minorHAnsi" w:cstheme="minorHAnsi"/>
                <w:color w:val="000000" w:themeColor="text1"/>
                <w:szCs w:val="20"/>
              </w:rPr>
              <w:t>In the alternative to perpetual carry forward</w:t>
            </w:r>
            <w:r w:rsidR="00384CCA">
              <w:rPr>
                <w:rFonts w:asciiTheme="minorHAnsi" w:hAnsiTheme="minorHAnsi" w:cstheme="minorHAnsi"/>
                <w:color w:val="000000" w:themeColor="text1"/>
                <w:szCs w:val="20"/>
              </w:rPr>
              <w:t>,</w:t>
            </w:r>
            <w:r>
              <w:rPr>
                <w:rFonts w:asciiTheme="minorHAnsi" w:hAnsiTheme="minorHAnsi" w:cstheme="minorHAnsi"/>
                <w:color w:val="000000" w:themeColor="text1"/>
                <w:szCs w:val="20"/>
              </w:rPr>
              <w:t xml:space="preserve"> we </w:t>
            </w:r>
            <w:r w:rsidR="00384CCA">
              <w:rPr>
                <w:rFonts w:asciiTheme="minorHAnsi" w:hAnsiTheme="minorHAnsi" w:cstheme="minorHAnsi"/>
                <w:color w:val="000000" w:themeColor="text1"/>
                <w:szCs w:val="20"/>
              </w:rPr>
              <w:t>propose</w:t>
            </w:r>
            <w:r w:rsidR="00384CCA" w:rsidRPr="00B37F9B">
              <w:rPr>
                <w:rFonts w:asciiTheme="minorHAnsi" w:hAnsiTheme="minorHAnsi" w:cstheme="minorHAnsi"/>
                <w:color w:val="000000" w:themeColor="text1"/>
                <w:szCs w:val="20"/>
              </w:rPr>
              <w:t>:</w:t>
            </w:r>
            <w:r w:rsidR="006B7B8E" w:rsidRPr="004537BE">
              <w:rPr>
                <w:rFonts w:asciiTheme="minorHAnsi" w:hAnsiTheme="minorHAnsi" w:cstheme="minorHAnsi"/>
                <w:color w:val="000000" w:themeColor="text1"/>
                <w:szCs w:val="20"/>
              </w:rPr>
              <w:t xml:space="preserve"> - </w:t>
            </w:r>
          </w:p>
          <w:p w14:paraId="6C729558" w14:textId="77777777" w:rsidR="001F2F7D" w:rsidRPr="006061D0" w:rsidRDefault="001F2F7D" w:rsidP="005C015F">
            <w:pPr>
              <w:rPr>
                <w:rFonts w:cstheme="minorHAnsi"/>
                <w:color w:val="000000" w:themeColor="text1"/>
                <w:kern w:val="0"/>
                <w:sz w:val="20"/>
                <w:szCs w:val="20"/>
                <w:lang w:val="en-US"/>
                <w14:ligatures w14:val="none"/>
              </w:rPr>
            </w:pPr>
          </w:p>
          <w:p w14:paraId="7400371A" w14:textId="44FF9169" w:rsidR="001F2F7D" w:rsidRPr="004537BE" w:rsidRDefault="006B7B8E" w:rsidP="005C015F">
            <w:pPr>
              <w:pStyle w:val="ListParagraph"/>
              <w:numPr>
                <w:ilvl w:val="1"/>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The current section 15(4) should be amended to allow taxpayers to </w:t>
            </w:r>
            <w:r w:rsidR="00384CCA">
              <w:rPr>
                <w:rFonts w:asciiTheme="minorHAnsi" w:hAnsiTheme="minorHAnsi" w:cstheme="minorHAnsi"/>
                <w:color w:val="000000" w:themeColor="text1"/>
                <w:szCs w:val="20"/>
              </w:rPr>
              <w:t xml:space="preserve">use tax losses in phases until exhaustion, when they revert to a payable position. For instance, in a particular income year, where the taxpayer reports a taxable profit, 50% of it should be used to use loss carried forward while the remaining 50% should </w:t>
            </w:r>
            <w:r w:rsidRPr="004537BE">
              <w:rPr>
                <w:rFonts w:asciiTheme="minorHAnsi" w:hAnsiTheme="minorHAnsi" w:cstheme="minorHAnsi"/>
                <w:color w:val="000000" w:themeColor="text1"/>
                <w:szCs w:val="20"/>
              </w:rPr>
              <w:t xml:space="preserve">be subjected to corporate income tax. </w:t>
            </w:r>
          </w:p>
          <w:p w14:paraId="73956E6E" w14:textId="74C837A8" w:rsidR="001F2F7D" w:rsidRPr="004537BE" w:rsidRDefault="006B7B8E" w:rsidP="005C015F">
            <w:pPr>
              <w:pStyle w:val="ListParagraph"/>
              <w:numPr>
                <w:ilvl w:val="1"/>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 xml:space="preserve">Further, we propose </w:t>
            </w:r>
            <w:r w:rsidR="00384CCA">
              <w:rPr>
                <w:rFonts w:asciiTheme="minorHAnsi" w:hAnsiTheme="minorHAnsi" w:cstheme="minorHAnsi"/>
                <w:color w:val="000000" w:themeColor="text1"/>
                <w:szCs w:val="20"/>
              </w:rPr>
              <w:t xml:space="preserve">including a transitional provision for losses that may have arisen in prior years. Accumulated losses will be deemed to have been incurred in the year of income in which </w:t>
            </w:r>
            <w:r w:rsidRPr="004537BE">
              <w:rPr>
                <w:rFonts w:asciiTheme="minorHAnsi" w:hAnsiTheme="minorHAnsi" w:cstheme="minorHAnsi"/>
                <w:color w:val="000000" w:themeColor="text1"/>
                <w:szCs w:val="20"/>
              </w:rPr>
              <w:t xml:space="preserve">the provision comes into force. </w:t>
            </w:r>
          </w:p>
          <w:p w14:paraId="5C2BE51D" w14:textId="2BA46C3D" w:rsidR="006B7B8E" w:rsidRPr="004537BE" w:rsidRDefault="006B7B8E" w:rsidP="005C015F">
            <w:pPr>
              <w:pStyle w:val="ListParagraph"/>
              <w:numPr>
                <w:ilvl w:val="1"/>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A </w:t>
            </w:r>
            <w:r w:rsidR="001F2F7D" w:rsidRPr="004537BE">
              <w:rPr>
                <w:rFonts w:asciiTheme="minorHAnsi" w:hAnsiTheme="minorHAnsi" w:cstheme="minorHAnsi"/>
                <w:color w:val="000000" w:themeColor="text1"/>
                <w:szCs w:val="20"/>
              </w:rPr>
              <w:t>provision</w:t>
            </w:r>
            <w:r w:rsidRPr="004537BE">
              <w:rPr>
                <w:rFonts w:asciiTheme="minorHAnsi" w:hAnsiTheme="minorHAnsi" w:cstheme="minorHAnsi"/>
                <w:color w:val="000000" w:themeColor="text1"/>
                <w:szCs w:val="20"/>
              </w:rPr>
              <w:t xml:space="preserve"> that the limitation </w:t>
            </w:r>
            <w:r w:rsidR="00384CCA">
              <w:rPr>
                <w:rFonts w:asciiTheme="minorHAnsi" w:hAnsiTheme="minorHAnsi" w:cstheme="minorHAnsi"/>
                <w:color w:val="000000" w:themeColor="text1"/>
                <w:szCs w:val="20"/>
              </w:rPr>
              <w:t>on carrying forward losses will not apply to taxpayers engaging in extractive or agricultural</w:t>
            </w:r>
            <w:r w:rsidRPr="004537BE">
              <w:rPr>
                <w:rFonts w:asciiTheme="minorHAnsi" w:hAnsiTheme="minorHAnsi" w:cstheme="minorHAnsi"/>
                <w:color w:val="000000" w:themeColor="text1"/>
                <w:szCs w:val="20"/>
              </w:rPr>
              <w:t xml:space="preserve"> activities.</w:t>
            </w:r>
          </w:p>
        </w:tc>
        <w:tc>
          <w:tcPr>
            <w:tcW w:w="1343" w:type="pct"/>
          </w:tcPr>
          <w:p w14:paraId="1AC43008" w14:textId="77777777" w:rsidR="00AB28C5" w:rsidRPr="00AB28C5" w:rsidRDefault="00AB28C5" w:rsidP="00AB28C5">
            <w:pPr>
              <w:pStyle w:val="ListParagraph"/>
              <w:numPr>
                <w:ilvl w:val="0"/>
                <w:numId w:val="16"/>
              </w:numPr>
              <w:spacing w:after="0"/>
              <w:rPr>
                <w:rFonts w:asciiTheme="minorHAnsi" w:hAnsiTheme="minorHAnsi" w:cstheme="minorHAnsi"/>
                <w:b/>
                <w:bCs/>
                <w:color w:val="000000" w:themeColor="text1"/>
                <w:szCs w:val="20"/>
              </w:rPr>
            </w:pPr>
            <w:r w:rsidRPr="00AB28C5">
              <w:rPr>
                <w:rFonts w:asciiTheme="minorHAnsi" w:hAnsiTheme="minorHAnsi" w:cstheme="minorHAnsi"/>
                <w:b/>
                <w:bCs/>
                <w:color w:val="000000" w:themeColor="text1"/>
                <w:szCs w:val="20"/>
              </w:rPr>
              <w:lastRenderedPageBreak/>
              <w:t xml:space="preserve">A strict time limit on loss carryforwards (like a 5-year cap) can have serious commercial implications, particularly for capital-intensive and long-horizon investments. </w:t>
            </w:r>
          </w:p>
          <w:p w14:paraId="7D5FC9ED" w14:textId="77777777" w:rsidR="00AB28C5" w:rsidRDefault="00AB28C5" w:rsidP="00AB28C5">
            <w:pPr>
              <w:pStyle w:val="ListParagraph"/>
              <w:numPr>
                <w:ilvl w:val="0"/>
                <w:numId w:val="16"/>
              </w:numPr>
              <w:spacing w:after="0"/>
              <w:rPr>
                <w:rFonts w:asciiTheme="minorHAnsi" w:hAnsiTheme="minorHAnsi" w:cstheme="minorHAnsi"/>
                <w:color w:val="000000" w:themeColor="text1"/>
                <w:szCs w:val="20"/>
              </w:rPr>
            </w:pPr>
            <w:r w:rsidRPr="00AB28C5">
              <w:rPr>
                <w:rFonts w:asciiTheme="minorHAnsi" w:hAnsiTheme="minorHAnsi" w:cstheme="minorHAnsi"/>
                <w:color w:val="000000" w:themeColor="text1"/>
                <w:szCs w:val="20"/>
              </w:rPr>
              <w:t xml:space="preserve">Many businesses – infrastructure projects, manufacturing plants, green </w:t>
            </w:r>
            <w:r w:rsidRPr="00AB28C5">
              <w:rPr>
                <w:rFonts w:asciiTheme="minorHAnsi" w:hAnsiTheme="minorHAnsi" w:cstheme="minorHAnsi"/>
                <w:color w:val="000000" w:themeColor="text1"/>
                <w:szCs w:val="20"/>
              </w:rPr>
              <w:lastRenderedPageBreak/>
              <w:t xml:space="preserve">energy projects, tech startups, etc. – require large upfront investments and may operate at a loss for a number of years before turning consistently profitable. </w:t>
            </w:r>
          </w:p>
          <w:p w14:paraId="4CC4EDE9" w14:textId="77777777" w:rsidR="00AB28C5" w:rsidRDefault="00AB28C5" w:rsidP="00AB28C5">
            <w:pPr>
              <w:pStyle w:val="ListParagraph"/>
              <w:numPr>
                <w:ilvl w:val="0"/>
                <w:numId w:val="16"/>
              </w:numPr>
              <w:spacing w:after="0"/>
              <w:rPr>
                <w:rFonts w:asciiTheme="minorHAnsi" w:hAnsiTheme="minorHAnsi" w:cstheme="minorHAnsi"/>
                <w:color w:val="000000" w:themeColor="text1"/>
                <w:szCs w:val="20"/>
              </w:rPr>
            </w:pPr>
            <w:r w:rsidRPr="00AB28C5">
              <w:rPr>
                <w:rFonts w:asciiTheme="minorHAnsi" w:hAnsiTheme="minorHAnsi" w:cstheme="minorHAnsi"/>
                <w:color w:val="000000" w:themeColor="text1"/>
                <w:szCs w:val="20"/>
              </w:rPr>
              <w:t>The return on investment (ROI) in such cases is realized gradually over a long period. For example, an investment with only a modest 5% annual return might take nearly 20 years to double in value (i.e. to fully pay back the initial capital and then double it).</w:t>
            </w:r>
          </w:p>
          <w:p w14:paraId="26CAE221" w14:textId="77777777" w:rsidR="00AB28C5" w:rsidRDefault="00AB28C5" w:rsidP="00AB28C5">
            <w:pPr>
              <w:pStyle w:val="ListParagraph"/>
              <w:numPr>
                <w:ilvl w:val="0"/>
                <w:numId w:val="16"/>
              </w:numPr>
              <w:spacing w:after="0"/>
              <w:rPr>
                <w:rFonts w:asciiTheme="minorHAnsi" w:hAnsiTheme="minorHAnsi" w:cstheme="minorHAnsi"/>
                <w:color w:val="000000" w:themeColor="text1"/>
                <w:szCs w:val="20"/>
              </w:rPr>
            </w:pPr>
            <w:r w:rsidRPr="00AB28C5">
              <w:rPr>
                <w:rFonts w:asciiTheme="minorHAnsi" w:hAnsiTheme="minorHAnsi" w:cstheme="minorHAnsi"/>
                <w:color w:val="000000" w:themeColor="text1"/>
                <w:szCs w:val="20"/>
              </w:rPr>
              <w:t xml:space="preserve">In other words, a project yielding ~5% per year would require on the order of two decades to deliver “full” returns to investors – far longer than a 5-year tax loss carryforward window. </w:t>
            </w:r>
          </w:p>
          <w:p w14:paraId="2B6D3A85" w14:textId="77777777" w:rsidR="00AB28C5" w:rsidRDefault="00AB28C5" w:rsidP="00AB28C5">
            <w:pPr>
              <w:pStyle w:val="ListParagraph"/>
              <w:numPr>
                <w:ilvl w:val="0"/>
                <w:numId w:val="16"/>
              </w:numPr>
              <w:spacing w:after="0"/>
              <w:rPr>
                <w:rFonts w:asciiTheme="minorHAnsi" w:hAnsiTheme="minorHAnsi" w:cstheme="minorHAnsi"/>
                <w:color w:val="000000" w:themeColor="text1"/>
                <w:szCs w:val="20"/>
              </w:rPr>
            </w:pPr>
            <w:r w:rsidRPr="00AB28C5">
              <w:rPr>
                <w:rFonts w:asciiTheme="minorHAnsi" w:hAnsiTheme="minorHAnsi" w:cstheme="minorHAnsi"/>
                <w:color w:val="000000" w:themeColor="text1"/>
                <w:szCs w:val="20"/>
              </w:rPr>
              <w:t>If losses are only usable for 5 years, much of the early-stage losses from such a project could expire before the project ever generates enough profit to utilize them.</w:t>
            </w:r>
          </w:p>
          <w:p w14:paraId="1AA0A0C3" w14:textId="77777777" w:rsidR="00AB28C5" w:rsidRPr="00AB28C5" w:rsidRDefault="00AB28C5" w:rsidP="00AB28C5">
            <w:pPr>
              <w:pStyle w:val="ListParagraph"/>
              <w:numPr>
                <w:ilvl w:val="0"/>
                <w:numId w:val="16"/>
              </w:numPr>
              <w:spacing w:after="0"/>
              <w:rPr>
                <w:rFonts w:asciiTheme="minorHAnsi" w:hAnsiTheme="minorHAnsi" w:cstheme="minorHAnsi"/>
                <w:color w:val="000000" w:themeColor="text1"/>
                <w:szCs w:val="20"/>
              </w:rPr>
            </w:pPr>
            <w:r>
              <w:rPr>
                <w:rFonts w:cstheme="minorHAnsi"/>
                <w:color w:val="000000" w:themeColor="text1"/>
                <w:szCs w:val="20"/>
              </w:rPr>
              <w:t xml:space="preserve">To </w:t>
            </w:r>
            <w:r w:rsidRPr="00AB28C5">
              <w:rPr>
                <w:rFonts w:cstheme="minorHAnsi"/>
                <w:color w:val="000000" w:themeColor="text1"/>
                <w:szCs w:val="20"/>
              </w:rPr>
              <w:t xml:space="preserve">illustrate, consider a capital-intensive venture that spends KES 100 million in its first 5 years (accumulating a tax loss of KES 100M) and only begins generating profits in year 6. </w:t>
            </w:r>
          </w:p>
          <w:p w14:paraId="18AEE55C" w14:textId="3A4BA262" w:rsidR="00AB28C5" w:rsidRPr="00AB28C5" w:rsidRDefault="00AB28C5" w:rsidP="00AB28C5">
            <w:pPr>
              <w:pStyle w:val="ListParagraph"/>
              <w:numPr>
                <w:ilvl w:val="0"/>
                <w:numId w:val="16"/>
              </w:numPr>
              <w:spacing w:after="0"/>
              <w:rPr>
                <w:rFonts w:asciiTheme="minorHAnsi" w:hAnsiTheme="minorHAnsi" w:cstheme="minorHAnsi"/>
                <w:color w:val="000000" w:themeColor="text1"/>
                <w:szCs w:val="20"/>
              </w:rPr>
            </w:pPr>
            <w:r w:rsidRPr="00AB28C5">
              <w:rPr>
                <w:rFonts w:cstheme="minorHAnsi"/>
                <w:color w:val="000000" w:themeColor="text1"/>
                <w:szCs w:val="20"/>
              </w:rPr>
              <w:t xml:space="preserve">Suppose it then earns a modest KES 5 million profit each year (5% of the investment). Under an indefinite carryforward, the KES 100M of losses from the startup phase would gradually offset the KES 5M annual profits for 20 years </w:t>
            </w:r>
            <w:r w:rsidRPr="00AB28C5">
              <w:rPr>
                <w:rFonts w:cstheme="minorHAnsi"/>
                <w:color w:val="000000" w:themeColor="text1"/>
                <w:szCs w:val="20"/>
              </w:rPr>
              <w:lastRenderedPageBreak/>
              <w:t xml:space="preserve">until fully utilized, meaning the company would pay corporate tax only after it has truly recouped its accumulated losses. However, with a 5-year cap, </w:t>
            </w:r>
            <w:r>
              <w:rPr>
                <w:rFonts w:cstheme="minorHAnsi"/>
                <w:color w:val="000000" w:themeColor="text1"/>
                <w:szCs w:val="20"/>
              </w:rPr>
              <w:t>losses over</w:t>
            </w:r>
            <w:r w:rsidRPr="00AB28C5">
              <w:rPr>
                <w:rFonts w:cstheme="minorHAnsi"/>
                <w:color w:val="000000" w:themeColor="text1"/>
                <w:szCs w:val="20"/>
              </w:rPr>
              <w:t xml:space="preserve"> 5 years vanish. By year 6, the losses from year 1 would expire; by year 10, all initial losses from years 1–5 would be gone. The company would start paying taxes on its profits long before it has offset its initial investment costs. This effectively increases the real tax burden on long-term projects and reduces their net present value.</w:t>
            </w:r>
          </w:p>
          <w:p w14:paraId="58ED23D5" w14:textId="346C9328" w:rsidR="00AB28C5" w:rsidRPr="00AB28C5" w:rsidRDefault="00AB28C5" w:rsidP="00AB28C5">
            <w:pPr>
              <w:pStyle w:val="ListParagraph"/>
              <w:numPr>
                <w:ilvl w:val="0"/>
                <w:numId w:val="16"/>
              </w:numPr>
              <w:spacing w:after="0"/>
              <w:rPr>
                <w:rFonts w:asciiTheme="minorHAnsi" w:hAnsiTheme="minorHAnsi" w:cstheme="minorHAnsi"/>
                <w:b/>
                <w:bCs/>
                <w:i/>
                <w:iCs/>
                <w:color w:val="000000" w:themeColor="text1"/>
                <w:szCs w:val="20"/>
              </w:rPr>
            </w:pPr>
            <w:r>
              <w:rPr>
                <w:rFonts w:asciiTheme="minorHAnsi" w:hAnsiTheme="minorHAnsi" w:cstheme="minorHAnsi"/>
                <w:b/>
                <w:bCs/>
                <w:i/>
                <w:iCs/>
                <w:color w:val="000000" w:themeColor="text1"/>
                <w:szCs w:val="20"/>
              </w:rPr>
              <w:t>Loss-making</w:t>
            </w:r>
            <w:r w:rsidRPr="00AB28C5">
              <w:rPr>
                <w:rFonts w:asciiTheme="minorHAnsi" w:hAnsiTheme="minorHAnsi" w:cstheme="minorHAnsi"/>
                <w:b/>
                <w:bCs/>
                <w:i/>
                <w:iCs/>
                <w:color w:val="000000" w:themeColor="text1"/>
                <w:szCs w:val="20"/>
              </w:rPr>
              <w:t xml:space="preserve"> </w:t>
            </w:r>
            <w:r>
              <w:rPr>
                <w:rFonts w:asciiTheme="minorHAnsi" w:hAnsiTheme="minorHAnsi" w:cstheme="minorHAnsi"/>
                <w:b/>
                <w:bCs/>
                <w:i/>
                <w:iCs/>
                <w:color w:val="000000" w:themeColor="text1"/>
                <w:szCs w:val="20"/>
              </w:rPr>
              <w:t>companies'</w:t>
            </w:r>
            <w:r w:rsidRPr="00AB28C5">
              <w:rPr>
                <w:rFonts w:asciiTheme="minorHAnsi" w:hAnsiTheme="minorHAnsi" w:cstheme="minorHAnsi"/>
                <w:b/>
                <w:bCs/>
                <w:i/>
                <w:iCs/>
                <w:color w:val="000000" w:themeColor="text1"/>
                <w:szCs w:val="20"/>
              </w:rPr>
              <w:t xml:space="preserve"> contribution: </w:t>
            </w:r>
          </w:p>
          <w:p w14:paraId="5E85C599" w14:textId="77777777" w:rsidR="00AB28C5" w:rsidRPr="00AB28C5" w:rsidRDefault="00AB28C5" w:rsidP="00AB28C5">
            <w:pPr>
              <w:pStyle w:val="ListParagraph"/>
              <w:spacing w:after="0"/>
              <w:ind w:left="360"/>
              <w:rPr>
                <w:rFonts w:asciiTheme="minorHAnsi" w:hAnsiTheme="minorHAnsi" w:cstheme="minorHAnsi"/>
                <w:color w:val="000000" w:themeColor="text1"/>
                <w:szCs w:val="20"/>
              </w:rPr>
            </w:pPr>
          </w:p>
          <w:p w14:paraId="0E2716AF" w14:textId="11E94187" w:rsidR="00AB28C5" w:rsidRPr="00B37F9B" w:rsidRDefault="00AB28C5" w:rsidP="00AB28C5">
            <w:pPr>
              <w:pStyle w:val="ListParagraph"/>
              <w:numPr>
                <w:ilvl w:val="0"/>
                <w:numId w:val="16"/>
              </w:numPr>
              <w:spacing w:after="0"/>
              <w:rPr>
                <w:rFonts w:asciiTheme="minorHAnsi" w:hAnsiTheme="minorHAnsi" w:cstheme="minorHAnsi"/>
                <w:color w:val="000000" w:themeColor="text1"/>
                <w:szCs w:val="20"/>
              </w:rPr>
            </w:pPr>
            <w:r w:rsidRPr="00B37F9B">
              <w:rPr>
                <w:rFonts w:cstheme="minorHAnsi"/>
                <w:color w:val="000000" w:themeColor="text1"/>
                <w:szCs w:val="20"/>
              </w:rPr>
              <w:t>A common misconception is that companies not paying corporate income tax (because they are in a tax loss position) are “not contributing” to the economy or the fiscus. In reality, even loss-making businesses contribute substantially</w:t>
            </w:r>
            <w:r>
              <w:rPr>
                <w:rFonts w:cstheme="minorHAnsi"/>
                <w:color w:val="000000" w:themeColor="text1"/>
                <w:szCs w:val="20"/>
              </w:rPr>
              <w:t xml:space="preserve"> economically and in other taxes and fees, often in ways </w:t>
            </w:r>
            <w:r w:rsidRPr="00B37F9B">
              <w:rPr>
                <w:rFonts w:cstheme="minorHAnsi"/>
                <w:color w:val="000000" w:themeColor="text1"/>
                <w:szCs w:val="20"/>
              </w:rPr>
              <w:t xml:space="preserve">critical for growth and stability. </w:t>
            </w:r>
            <w:r>
              <w:rPr>
                <w:rFonts w:cstheme="minorHAnsi"/>
                <w:color w:val="000000" w:themeColor="text1"/>
                <w:szCs w:val="20"/>
              </w:rPr>
              <w:t xml:space="preserve">Policymakers need to </w:t>
            </w:r>
            <w:proofErr w:type="spellStart"/>
            <w:r>
              <w:rPr>
                <w:rFonts w:cstheme="minorHAnsi"/>
                <w:color w:val="000000" w:themeColor="text1"/>
                <w:szCs w:val="20"/>
              </w:rPr>
              <w:t>recognise</w:t>
            </w:r>
            <w:proofErr w:type="spellEnd"/>
            <w:r w:rsidRPr="00B37F9B">
              <w:rPr>
                <w:rFonts w:asciiTheme="minorHAnsi" w:hAnsiTheme="minorHAnsi" w:cstheme="minorHAnsi"/>
                <w:color w:val="000000" w:themeColor="text1"/>
                <w:szCs w:val="20"/>
              </w:rPr>
              <w:t xml:space="preserve"> these contributions:</w:t>
            </w:r>
          </w:p>
          <w:p w14:paraId="4E6610FD" w14:textId="601541B1" w:rsidR="00AB28C5" w:rsidRDefault="00384CCA" w:rsidP="005C015F">
            <w:pPr>
              <w:pStyle w:val="ListParagraph"/>
              <w:numPr>
                <w:ilvl w:val="0"/>
                <w:numId w:val="16"/>
              </w:numPr>
              <w:spacing w:after="0"/>
              <w:rPr>
                <w:rFonts w:asciiTheme="minorHAnsi" w:hAnsiTheme="minorHAnsi" w:cstheme="minorHAnsi"/>
                <w:color w:val="000000" w:themeColor="text1"/>
                <w:szCs w:val="20"/>
              </w:rPr>
            </w:pPr>
            <w:r>
              <w:rPr>
                <w:rFonts w:asciiTheme="minorHAnsi" w:hAnsiTheme="minorHAnsi" w:cstheme="minorHAnsi"/>
                <w:color w:val="000000" w:themeColor="text1"/>
                <w:szCs w:val="20"/>
              </w:rPr>
              <w:t xml:space="preserve">VAT, PAYE, WHT, Import duties, levies, county fees, economic output, employment, R&amp;D, capacity growth, skills development, future tax contribution, lifestyle and wellbeing. </w:t>
            </w:r>
          </w:p>
          <w:p w14:paraId="5A86B290" w14:textId="6087A273" w:rsidR="001F2F7D" w:rsidRPr="004537BE" w:rsidRDefault="006B7B8E" w:rsidP="005C015F">
            <w:pPr>
              <w:pStyle w:val="ListParagraph"/>
              <w:numPr>
                <w:ilvl w:val="0"/>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 xml:space="preserve">It is our view that the five-year period may be quite short for capital intensive investments hence this proposal stands to impact certain taxpayers disproportionally and negatively, particularly those in capital-intensive sectors, such as manufacturing and the extractive industries, which often incur substantial tax losses over extended periods. This change may potentially stifle future investment in these vital sectors. </w:t>
            </w:r>
          </w:p>
          <w:p w14:paraId="75E700B9" w14:textId="77777777" w:rsidR="001F2F7D" w:rsidRPr="004537BE" w:rsidRDefault="006B7B8E" w:rsidP="005C015F">
            <w:pPr>
              <w:pStyle w:val="ListParagraph"/>
              <w:numPr>
                <w:ilvl w:val="0"/>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To protect businesses that incur bona fide tax losses and require more than five years to utilise the same, the government should consider phased out approach to utilization of tax losses. </w:t>
            </w:r>
          </w:p>
          <w:p w14:paraId="3871EA64" w14:textId="77777777" w:rsidR="001F2F7D" w:rsidRPr="004537BE" w:rsidRDefault="006B7B8E" w:rsidP="005C015F">
            <w:pPr>
              <w:pStyle w:val="ListParagraph"/>
              <w:numPr>
                <w:ilvl w:val="0"/>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For comparison we note that Tanzania has structured the utilization of tax losses in a manner that allows for eventual claim of all the losses but also payment of taxes in a year of income where the entity reports a taxable income. Under this regime, 40% of the taxable profit reported is taxed while 60% is utilized to offset outstanding tax losses. Further, Tanzania excludes key sectors of the economy e.g. </w:t>
            </w:r>
            <w:proofErr w:type="gramStart"/>
            <w:r w:rsidRPr="004537BE">
              <w:rPr>
                <w:rFonts w:asciiTheme="minorHAnsi" w:hAnsiTheme="minorHAnsi" w:cstheme="minorHAnsi"/>
                <w:color w:val="000000" w:themeColor="text1"/>
                <w:szCs w:val="20"/>
              </w:rPr>
              <w:t>agricultural  sector</w:t>
            </w:r>
            <w:proofErr w:type="gramEnd"/>
            <w:r w:rsidRPr="004537BE">
              <w:rPr>
                <w:rFonts w:asciiTheme="minorHAnsi" w:hAnsiTheme="minorHAnsi" w:cstheme="minorHAnsi"/>
                <w:color w:val="000000" w:themeColor="text1"/>
                <w:szCs w:val="20"/>
              </w:rPr>
              <w:t xml:space="preserve"> from the restriction of utilization of tax losses.  </w:t>
            </w:r>
          </w:p>
          <w:p w14:paraId="192CE285" w14:textId="77777777" w:rsidR="001F2F7D" w:rsidRPr="004537BE" w:rsidRDefault="006B7B8E" w:rsidP="005C015F">
            <w:pPr>
              <w:pStyle w:val="ListParagraph"/>
              <w:numPr>
                <w:ilvl w:val="0"/>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 xml:space="preserve">In Uganda, the taxpayer is allowed to claim the tax loss for seven consecutive year and any loss tax loss that remains unutilised thereafter, only 50% is considered claimable. </w:t>
            </w:r>
          </w:p>
          <w:p w14:paraId="79E8A71F" w14:textId="1303F078" w:rsidR="006B7B8E" w:rsidRPr="004537BE" w:rsidRDefault="006B7B8E" w:rsidP="005C015F">
            <w:pPr>
              <w:pStyle w:val="ListParagraph"/>
              <w:numPr>
                <w:ilvl w:val="0"/>
                <w:numId w:val="1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Our proposal would lead to a level playground for potential investors eyeing to make investments in any of the three East African countries. We are further cognisant of the fact that players in the extractive industry may require not less than 10 years for exploration before making gainful return on their investment. As regards exemption of Agriculture activities, Agriculture Sector is and remains the key contributor to the country’s GDP and most importantly provides food security for the citizenry as well as being the source of key raw materials for the manufacturing sector.</w:t>
            </w:r>
          </w:p>
        </w:tc>
      </w:tr>
      <w:tr w:rsidR="006B7B8E" w:rsidRPr="004537BE" w14:paraId="3963CB4A" w14:textId="77777777" w:rsidTr="005C015F">
        <w:tc>
          <w:tcPr>
            <w:tcW w:w="151" w:type="pct"/>
          </w:tcPr>
          <w:p w14:paraId="20161858" w14:textId="77777777" w:rsidR="006B7B8E" w:rsidRPr="004537BE" w:rsidRDefault="006B7B8E" w:rsidP="005C015F">
            <w:pPr>
              <w:pStyle w:val="ListParagraph"/>
              <w:numPr>
                <w:ilvl w:val="0"/>
                <w:numId w:val="14"/>
              </w:numPr>
              <w:spacing w:after="0"/>
              <w:rPr>
                <w:rFonts w:asciiTheme="minorHAnsi" w:hAnsiTheme="minorHAnsi" w:cstheme="minorHAnsi"/>
                <w:color w:val="000000" w:themeColor="text1"/>
                <w:szCs w:val="20"/>
              </w:rPr>
            </w:pPr>
          </w:p>
        </w:tc>
        <w:tc>
          <w:tcPr>
            <w:tcW w:w="915" w:type="pct"/>
          </w:tcPr>
          <w:p w14:paraId="0D35699B" w14:textId="77777777" w:rsidR="003A231E" w:rsidRPr="004537BE" w:rsidRDefault="006B7B8E" w:rsidP="003A231E">
            <w:pPr>
              <w:pStyle w:val="ListParagraph"/>
              <w:numPr>
                <w:ilvl w:val="0"/>
                <w:numId w:val="16"/>
              </w:numPr>
              <w:spacing w:after="0"/>
              <w:rPr>
                <w:rFonts w:asciiTheme="minorHAnsi" w:hAnsiTheme="minorHAnsi" w:cstheme="minorHAnsi"/>
                <w:b/>
                <w:color w:val="000000" w:themeColor="text1"/>
                <w:szCs w:val="20"/>
              </w:rPr>
            </w:pPr>
            <w:r w:rsidRPr="004537BE">
              <w:rPr>
                <w:rFonts w:asciiTheme="minorHAnsi" w:hAnsiTheme="minorHAnsi" w:cstheme="minorHAnsi"/>
                <w:b/>
                <w:color w:val="000000" w:themeColor="text1"/>
                <w:szCs w:val="20"/>
              </w:rPr>
              <w:t>Section 11 of Finance Bill 2025</w:t>
            </w:r>
            <w:r w:rsidR="003A231E" w:rsidRPr="004537BE">
              <w:rPr>
                <w:rFonts w:asciiTheme="minorHAnsi" w:hAnsiTheme="minorHAnsi" w:cstheme="minorHAnsi"/>
                <w:b/>
                <w:color w:val="000000" w:themeColor="text1"/>
                <w:szCs w:val="20"/>
              </w:rPr>
              <w:t xml:space="preserve">; </w:t>
            </w:r>
          </w:p>
          <w:p w14:paraId="39613B5F" w14:textId="72E318A5" w:rsidR="006B7B8E" w:rsidRPr="004537BE" w:rsidRDefault="006B7B8E" w:rsidP="003A231E">
            <w:pPr>
              <w:ind w:left="360"/>
              <w:rPr>
                <w:rFonts w:cstheme="minorHAnsi"/>
                <w:color w:val="000000" w:themeColor="text1"/>
                <w:sz w:val="20"/>
                <w:szCs w:val="20"/>
              </w:rPr>
            </w:pPr>
            <w:r w:rsidRPr="004537BE">
              <w:rPr>
                <w:rFonts w:cstheme="minorHAnsi"/>
                <w:color w:val="000000" w:themeColor="text1"/>
                <w:sz w:val="20"/>
                <w:szCs w:val="20"/>
              </w:rPr>
              <w:t>Country by country reporting on behalf of other related parties</w:t>
            </w:r>
          </w:p>
        </w:tc>
        <w:tc>
          <w:tcPr>
            <w:tcW w:w="1219" w:type="pct"/>
          </w:tcPr>
          <w:p w14:paraId="622F8DBE" w14:textId="77777777" w:rsidR="006B7B8E" w:rsidRPr="004537BE" w:rsidRDefault="006B7B8E" w:rsidP="003A231E">
            <w:pPr>
              <w:pStyle w:val="ListParagraph"/>
              <w:numPr>
                <w:ilvl w:val="0"/>
                <w:numId w:val="1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The Bill proposes to delete the words “as a surrogate parent entity” and replace with the following words “to file a country-by-country report and notify the Commissioner by the last day of the reporting financial year of that group in such form as the Commissioner may specify’</w:t>
            </w:r>
          </w:p>
          <w:p w14:paraId="555D90E2" w14:textId="77777777" w:rsidR="006B7B8E" w:rsidRPr="004537BE" w:rsidRDefault="006B7B8E" w:rsidP="005C015F">
            <w:pPr>
              <w:rPr>
                <w:rFonts w:eastAsia="Arial" w:cstheme="minorHAnsi"/>
                <w:color w:val="000000" w:themeColor="text1"/>
                <w:sz w:val="20"/>
                <w:szCs w:val="20"/>
                <w:lang w:eastAsia="en-GB"/>
              </w:rPr>
            </w:pPr>
          </w:p>
          <w:p w14:paraId="018C064C" w14:textId="77777777" w:rsidR="006B7B8E" w:rsidRPr="004537BE" w:rsidRDefault="006B7B8E" w:rsidP="005C015F">
            <w:pPr>
              <w:rPr>
                <w:rFonts w:eastAsia="Arial" w:cstheme="minorHAnsi"/>
                <w:color w:val="000000" w:themeColor="text1"/>
                <w:sz w:val="20"/>
                <w:szCs w:val="20"/>
                <w:lang w:eastAsia="en-GB"/>
              </w:rPr>
            </w:pPr>
          </w:p>
        </w:tc>
        <w:tc>
          <w:tcPr>
            <w:tcW w:w="1372" w:type="pct"/>
          </w:tcPr>
          <w:p w14:paraId="73DA3D11" w14:textId="77777777" w:rsidR="006B7B8E" w:rsidRPr="004537BE" w:rsidRDefault="006B7B8E" w:rsidP="003A231E">
            <w:pPr>
              <w:pStyle w:val="ListParagraph"/>
              <w:widowControl w:val="0"/>
              <w:numPr>
                <w:ilvl w:val="0"/>
                <w:numId w:val="18"/>
              </w:numPr>
              <w:spacing w:after="0"/>
              <w:rPr>
                <w:rFonts w:asciiTheme="minorHAnsi" w:eastAsia="Arial" w:hAnsiTheme="minorHAnsi" w:cstheme="minorHAnsi"/>
                <w:color w:val="000000" w:themeColor="text1"/>
                <w:szCs w:val="20"/>
                <w:lang w:eastAsia="en-GB"/>
              </w:rPr>
            </w:pPr>
            <w:r w:rsidRPr="004537BE">
              <w:rPr>
                <w:rFonts w:asciiTheme="minorHAnsi" w:hAnsiTheme="minorHAnsi" w:cstheme="minorHAnsi"/>
                <w:color w:val="000000" w:themeColor="text1"/>
                <w:szCs w:val="20"/>
              </w:rPr>
              <w:t>We propose Section 18D (8) of the ITA to be amended as follows: 1) Delete the words “as a surrogate parent entity” and replace with the following words “to file a country-by-country report notification with the Commissioner by the last day of the reporting financial year of that group in such form as the Commissioner may specify”</w:t>
            </w:r>
          </w:p>
        </w:tc>
        <w:tc>
          <w:tcPr>
            <w:tcW w:w="1343" w:type="pct"/>
          </w:tcPr>
          <w:p w14:paraId="716BCD88" w14:textId="77777777" w:rsidR="003A231E" w:rsidRPr="004537BE" w:rsidRDefault="006B7B8E" w:rsidP="005C015F">
            <w:pPr>
              <w:pStyle w:val="ListParagraph"/>
              <w:widowControl w:val="0"/>
              <w:numPr>
                <w:ilvl w:val="0"/>
                <w:numId w:val="18"/>
              </w:numPr>
              <w:spacing w:before="240"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We note that the provision as framed may cause confusion regarding the deadline of filing the country-by-country report as provided for under Section. 18D (2) of ITA which provides for filing of the country-by-country report within twelve months from the financial year end.</w:t>
            </w:r>
          </w:p>
          <w:p w14:paraId="5331D276" w14:textId="4FB8BDD6" w:rsidR="006B7B8E" w:rsidRPr="004537BE" w:rsidRDefault="006B7B8E" w:rsidP="005C015F">
            <w:pPr>
              <w:pStyle w:val="ListParagraph"/>
              <w:widowControl w:val="0"/>
              <w:numPr>
                <w:ilvl w:val="0"/>
                <w:numId w:val="18"/>
              </w:numPr>
              <w:spacing w:before="240"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Our proposal will ensure clarity, consistency, and to avoid confusion on the country-by-country compliance requirements.</w:t>
            </w:r>
          </w:p>
        </w:tc>
      </w:tr>
      <w:tr w:rsidR="006B7B8E" w:rsidRPr="004537BE" w14:paraId="5A0E4FA4" w14:textId="77777777" w:rsidTr="005C015F">
        <w:tc>
          <w:tcPr>
            <w:tcW w:w="151" w:type="pct"/>
          </w:tcPr>
          <w:p w14:paraId="447AA83B" w14:textId="77777777" w:rsidR="006B7B8E" w:rsidRPr="004537BE" w:rsidRDefault="006B7B8E" w:rsidP="005C015F">
            <w:pPr>
              <w:pStyle w:val="Heading2"/>
              <w:numPr>
                <w:ilvl w:val="0"/>
                <w:numId w:val="14"/>
              </w:numPr>
              <w:spacing w:before="0" w:after="0"/>
              <w:outlineLvl w:val="1"/>
              <w:rPr>
                <w:rFonts w:asciiTheme="minorHAnsi" w:hAnsiTheme="minorHAnsi" w:cstheme="minorHAnsi"/>
                <w:color w:val="000000" w:themeColor="text1"/>
                <w:szCs w:val="20"/>
              </w:rPr>
            </w:pPr>
          </w:p>
        </w:tc>
        <w:tc>
          <w:tcPr>
            <w:tcW w:w="915" w:type="pct"/>
          </w:tcPr>
          <w:p w14:paraId="3094AAD0" w14:textId="078AC626" w:rsidR="006B7B8E" w:rsidRPr="004537BE" w:rsidRDefault="006B7B8E" w:rsidP="003A231E">
            <w:pPr>
              <w:pStyle w:val="Heading2"/>
              <w:numPr>
                <w:ilvl w:val="0"/>
                <w:numId w:val="18"/>
              </w:numPr>
              <w:spacing w:before="0" w:after="0"/>
              <w:outlineLvl w:val="1"/>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Section 28 (b) (ii &amp; iii) of Finance Bill 2025</w:t>
            </w:r>
          </w:p>
          <w:p w14:paraId="5269BD10" w14:textId="77777777" w:rsidR="006B7B8E" w:rsidRPr="004537BE" w:rsidRDefault="006B7B8E" w:rsidP="005C015F">
            <w:pPr>
              <w:rPr>
                <w:rFonts w:cstheme="minorHAnsi"/>
                <w:color w:val="000000" w:themeColor="text1"/>
                <w:sz w:val="20"/>
                <w:szCs w:val="20"/>
              </w:rPr>
            </w:pPr>
          </w:p>
          <w:p w14:paraId="3D86DDF0" w14:textId="2416EB5A" w:rsidR="006B7B8E" w:rsidRPr="004537BE" w:rsidRDefault="006B7B8E" w:rsidP="003A231E">
            <w:pPr>
              <w:pStyle w:val="Heading2"/>
              <w:numPr>
                <w:ilvl w:val="0"/>
                <w:numId w:val="0"/>
              </w:numPr>
              <w:spacing w:before="0" w:after="0"/>
              <w:ind w:left="360"/>
              <w:outlineLvl w:val="1"/>
              <w:rPr>
                <w:rFonts w:asciiTheme="minorHAnsi" w:eastAsia="Calibri" w:hAnsiTheme="minorHAnsi" w:cstheme="minorHAnsi"/>
                <w:color w:val="000000" w:themeColor="text1"/>
                <w:szCs w:val="20"/>
              </w:rPr>
            </w:pPr>
            <w:r w:rsidRPr="004537BE">
              <w:rPr>
                <w:rFonts w:asciiTheme="minorHAnsi" w:hAnsiTheme="minorHAnsi" w:cstheme="minorHAnsi"/>
                <w:color w:val="000000" w:themeColor="text1"/>
                <w:szCs w:val="20"/>
              </w:rPr>
              <w:t xml:space="preserve">Repeal of </w:t>
            </w:r>
            <w:r w:rsidR="001D6E2C">
              <w:rPr>
                <w:rFonts w:asciiTheme="minorHAnsi" w:hAnsiTheme="minorHAnsi" w:cstheme="minorHAnsi"/>
                <w:color w:val="000000" w:themeColor="text1"/>
                <w:szCs w:val="20"/>
              </w:rPr>
              <w:t xml:space="preserve">the </w:t>
            </w:r>
            <w:r w:rsidRPr="004537BE">
              <w:rPr>
                <w:rFonts w:asciiTheme="minorHAnsi" w:hAnsiTheme="minorHAnsi" w:cstheme="minorHAnsi"/>
                <w:color w:val="000000" w:themeColor="text1"/>
                <w:szCs w:val="20"/>
              </w:rPr>
              <w:t>preferential tax rate</w:t>
            </w:r>
          </w:p>
        </w:tc>
        <w:tc>
          <w:tcPr>
            <w:tcW w:w="1219" w:type="pct"/>
          </w:tcPr>
          <w:p w14:paraId="79FD12D5" w14:textId="73B68FFC" w:rsidR="006B7B8E" w:rsidRPr="004537BE" w:rsidRDefault="006B7B8E" w:rsidP="003A231E">
            <w:pPr>
              <w:pStyle w:val="ListParagraph"/>
              <w:numPr>
                <w:ilvl w:val="0"/>
                <w:numId w:val="1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The Bill seeks to amend the Third Schedule to the ITA to repeal the preferential tax rate of 15% applicable to: - Companies engaged in </w:t>
            </w:r>
            <w:r w:rsidR="001D6E2C">
              <w:rPr>
                <w:rFonts w:asciiTheme="minorHAnsi" w:hAnsiTheme="minorHAnsi" w:cstheme="minorHAnsi"/>
                <w:color w:val="000000" w:themeColor="text1"/>
                <w:szCs w:val="20"/>
              </w:rPr>
              <w:t xml:space="preserve">the </w:t>
            </w:r>
            <w:r w:rsidRPr="004537BE">
              <w:rPr>
                <w:rFonts w:asciiTheme="minorHAnsi" w:hAnsiTheme="minorHAnsi" w:cstheme="minorHAnsi"/>
                <w:color w:val="000000" w:themeColor="text1"/>
                <w:szCs w:val="20"/>
              </w:rPr>
              <w:t>construction of at least 100 residential units in a year; and - Businesses engaged in the local assembly of motor vehicles.</w:t>
            </w:r>
          </w:p>
        </w:tc>
        <w:tc>
          <w:tcPr>
            <w:tcW w:w="1372" w:type="pct"/>
          </w:tcPr>
          <w:p w14:paraId="7FC0B243" w14:textId="773BBA0B" w:rsidR="006B7B8E" w:rsidRDefault="006B7B8E" w:rsidP="003A231E">
            <w:pPr>
              <w:pStyle w:val="ListParagraph"/>
              <w:numPr>
                <w:ilvl w:val="0"/>
                <w:numId w:val="1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We recommend: the retention of paragraph 2(j) of the Third Schedule of the Income Tax Act relating to businesses engaged in the local assembly of motor vehicles and the construction companies engaged in </w:t>
            </w:r>
            <w:r w:rsidR="001D6E2C">
              <w:rPr>
                <w:rFonts w:asciiTheme="minorHAnsi" w:hAnsiTheme="minorHAnsi" w:cstheme="minorHAnsi"/>
                <w:color w:val="000000" w:themeColor="text1"/>
                <w:szCs w:val="20"/>
              </w:rPr>
              <w:t xml:space="preserve">the </w:t>
            </w:r>
            <w:r w:rsidRPr="004537BE">
              <w:rPr>
                <w:rFonts w:asciiTheme="minorHAnsi" w:hAnsiTheme="minorHAnsi" w:cstheme="minorHAnsi"/>
                <w:color w:val="000000" w:themeColor="text1"/>
                <w:szCs w:val="20"/>
              </w:rPr>
              <w:t xml:space="preserve">construction of </w:t>
            </w:r>
            <w:r w:rsidR="001D6E2C">
              <w:rPr>
                <w:rFonts w:asciiTheme="minorHAnsi" w:hAnsiTheme="minorHAnsi" w:cstheme="minorHAnsi"/>
                <w:color w:val="000000" w:themeColor="text1"/>
                <w:szCs w:val="20"/>
              </w:rPr>
              <w:t>at least</w:t>
            </w:r>
            <w:r w:rsidRPr="004537BE">
              <w:rPr>
                <w:rFonts w:asciiTheme="minorHAnsi" w:hAnsiTheme="minorHAnsi" w:cstheme="minorHAnsi"/>
                <w:color w:val="000000" w:themeColor="text1"/>
                <w:szCs w:val="20"/>
              </w:rPr>
              <w:t xml:space="preserve"> 100 residential units</w:t>
            </w:r>
          </w:p>
          <w:p w14:paraId="7CC85CA0" w14:textId="67C453BA" w:rsidR="001D6E2C" w:rsidRPr="004537BE" w:rsidRDefault="001D6E2C" w:rsidP="003A231E">
            <w:pPr>
              <w:pStyle w:val="ListParagraph"/>
              <w:numPr>
                <w:ilvl w:val="0"/>
                <w:numId w:val="18"/>
              </w:numPr>
              <w:spacing w:after="0"/>
              <w:rPr>
                <w:rFonts w:asciiTheme="minorHAnsi" w:hAnsiTheme="minorHAnsi" w:cstheme="minorHAnsi"/>
                <w:color w:val="000000" w:themeColor="text1"/>
                <w:szCs w:val="20"/>
              </w:rPr>
            </w:pPr>
            <w:r>
              <w:rPr>
                <w:rFonts w:asciiTheme="minorHAnsi" w:hAnsiTheme="minorHAnsi" w:cstheme="minorHAnsi"/>
                <w:color w:val="000000" w:themeColor="text1"/>
                <w:szCs w:val="20"/>
              </w:rPr>
              <w:t xml:space="preserve">We also propose zero-rating supplies of goods and services to affordable housing projects, subject to the recommendation of the CS for Housing and approval by the CS for the National Treasury. </w:t>
            </w:r>
          </w:p>
        </w:tc>
        <w:tc>
          <w:tcPr>
            <w:tcW w:w="1343" w:type="pct"/>
          </w:tcPr>
          <w:p w14:paraId="50F64099" w14:textId="787E26AB" w:rsidR="003A231E" w:rsidRPr="004537BE" w:rsidRDefault="006B7B8E" w:rsidP="005C015F">
            <w:pPr>
              <w:pStyle w:val="ListParagraph"/>
              <w:numPr>
                <w:ilvl w:val="0"/>
                <w:numId w:val="1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The proposal to repeal the preferential tax rate would negatively impact the country’s development blueprint</w:t>
            </w:r>
            <w:r w:rsidR="001D6E2C">
              <w:rPr>
                <w:rFonts w:asciiTheme="minorHAnsi" w:hAnsiTheme="minorHAnsi" w:cstheme="minorHAnsi"/>
                <w:color w:val="000000" w:themeColor="text1"/>
                <w:szCs w:val="20"/>
              </w:rPr>
              <w:t>,</w:t>
            </w:r>
            <w:r w:rsidRPr="004537BE">
              <w:rPr>
                <w:rFonts w:asciiTheme="minorHAnsi" w:hAnsiTheme="minorHAnsi" w:cstheme="minorHAnsi"/>
                <w:color w:val="000000" w:themeColor="text1"/>
                <w:szCs w:val="20"/>
              </w:rPr>
              <w:t xml:space="preserve"> </w:t>
            </w:r>
            <w:r w:rsidR="003A231E" w:rsidRPr="004537BE">
              <w:rPr>
                <w:rFonts w:asciiTheme="minorHAnsi" w:hAnsiTheme="minorHAnsi" w:cstheme="minorHAnsi"/>
                <w:color w:val="000000" w:themeColor="text1"/>
                <w:szCs w:val="20"/>
              </w:rPr>
              <w:t>specifically</w:t>
            </w:r>
            <w:r w:rsidRPr="004537BE">
              <w:rPr>
                <w:rFonts w:asciiTheme="minorHAnsi" w:hAnsiTheme="minorHAnsi" w:cstheme="minorHAnsi"/>
                <w:color w:val="000000" w:themeColor="text1"/>
                <w:szCs w:val="20"/>
              </w:rPr>
              <w:t xml:space="preserve"> under the BETA plan to propel Manufacturing to 20% by 2030 and ensure that affordable housing is mainstreamed across the country. </w:t>
            </w:r>
          </w:p>
          <w:p w14:paraId="7FA0E216" w14:textId="12B0674C" w:rsidR="006B7B8E" w:rsidRPr="004537BE" w:rsidRDefault="006B7B8E" w:rsidP="005C015F">
            <w:pPr>
              <w:pStyle w:val="ListParagraph"/>
              <w:numPr>
                <w:ilvl w:val="0"/>
                <w:numId w:val="1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Further, </w:t>
            </w:r>
            <w:r w:rsidR="001D6E2C">
              <w:rPr>
                <w:rFonts w:asciiTheme="minorHAnsi" w:hAnsiTheme="minorHAnsi" w:cstheme="minorHAnsi"/>
                <w:color w:val="000000" w:themeColor="text1"/>
                <w:szCs w:val="20"/>
              </w:rPr>
              <w:t>for an export-oriented country,</w:t>
            </w:r>
            <w:r w:rsidRPr="004537BE">
              <w:rPr>
                <w:rFonts w:asciiTheme="minorHAnsi" w:hAnsiTheme="minorHAnsi" w:cstheme="minorHAnsi"/>
                <w:color w:val="000000" w:themeColor="text1"/>
                <w:szCs w:val="20"/>
              </w:rPr>
              <w:t xml:space="preserve"> it is important that the section is not repealed to reduce the balance of trade and the unemployment rate. </w:t>
            </w:r>
          </w:p>
        </w:tc>
      </w:tr>
      <w:tr w:rsidR="006B7B8E" w:rsidRPr="004537BE" w14:paraId="2D91F191" w14:textId="77777777" w:rsidTr="005C015F">
        <w:tc>
          <w:tcPr>
            <w:tcW w:w="151" w:type="pct"/>
          </w:tcPr>
          <w:p w14:paraId="721224E9" w14:textId="77777777" w:rsidR="006B7B8E" w:rsidRPr="004537BE" w:rsidRDefault="006B7B8E" w:rsidP="005C015F">
            <w:pPr>
              <w:pStyle w:val="ListParagraph"/>
              <w:numPr>
                <w:ilvl w:val="0"/>
                <w:numId w:val="14"/>
              </w:numPr>
              <w:spacing w:after="0"/>
              <w:rPr>
                <w:rFonts w:asciiTheme="minorHAnsi" w:eastAsia="Arial" w:hAnsiTheme="minorHAnsi" w:cstheme="minorHAnsi"/>
                <w:color w:val="000000" w:themeColor="text1"/>
                <w:szCs w:val="20"/>
                <w:lang w:eastAsia="en-GB"/>
              </w:rPr>
            </w:pPr>
          </w:p>
        </w:tc>
        <w:tc>
          <w:tcPr>
            <w:tcW w:w="915" w:type="pct"/>
          </w:tcPr>
          <w:p w14:paraId="3D1EF2C9" w14:textId="77777777" w:rsidR="006B7B8E" w:rsidRPr="004537BE" w:rsidRDefault="006B7B8E" w:rsidP="003A231E">
            <w:pPr>
              <w:pStyle w:val="ListParagraph"/>
              <w:numPr>
                <w:ilvl w:val="0"/>
                <w:numId w:val="18"/>
              </w:numPr>
              <w:spacing w:after="0"/>
              <w:rPr>
                <w:rFonts w:asciiTheme="minorHAnsi" w:eastAsia="Arial" w:hAnsiTheme="minorHAnsi" w:cstheme="minorHAnsi"/>
                <w:color w:val="000000" w:themeColor="text1"/>
                <w:szCs w:val="20"/>
                <w:lang w:eastAsia="en-GB"/>
              </w:rPr>
            </w:pPr>
            <w:r w:rsidRPr="004537BE">
              <w:rPr>
                <w:rFonts w:asciiTheme="minorHAnsi" w:eastAsia="Arial" w:hAnsiTheme="minorHAnsi" w:cstheme="minorHAnsi"/>
                <w:color w:val="000000" w:themeColor="text1"/>
                <w:szCs w:val="20"/>
                <w:lang w:eastAsia="en-GB"/>
              </w:rPr>
              <w:t>New Provision for Inclusion to the Finance Bill 2025</w:t>
            </w:r>
          </w:p>
          <w:p w14:paraId="6754D179" w14:textId="77777777" w:rsidR="006B7B8E" w:rsidRPr="004537BE" w:rsidRDefault="006B7B8E" w:rsidP="005C015F">
            <w:pPr>
              <w:rPr>
                <w:rFonts w:eastAsia="Arial" w:cstheme="minorHAnsi"/>
                <w:color w:val="000000" w:themeColor="text1"/>
                <w:sz w:val="20"/>
                <w:szCs w:val="20"/>
                <w:lang w:eastAsia="en-GB"/>
              </w:rPr>
            </w:pPr>
          </w:p>
          <w:p w14:paraId="414B20F9" w14:textId="130B3476" w:rsidR="006B7B8E" w:rsidRPr="004537BE" w:rsidRDefault="006B7B8E" w:rsidP="005C015F">
            <w:pPr>
              <w:rPr>
                <w:rFonts w:eastAsia="Arial" w:cstheme="minorHAnsi"/>
                <w:color w:val="000000" w:themeColor="text1"/>
                <w:sz w:val="20"/>
                <w:szCs w:val="20"/>
                <w:lang w:eastAsia="en-GB"/>
              </w:rPr>
            </w:pPr>
          </w:p>
          <w:p w14:paraId="7A3CDADA" w14:textId="77777777" w:rsidR="006B7B8E" w:rsidRPr="004537BE" w:rsidRDefault="006B7B8E" w:rsidP="005C015F">
            <w:pPr>
              <w:rPr>
                <w:rFonts w:cstheme="minorHAnsi"/>
                <w:i/>
                <w:iCs/>
                <w:color w:val="000000" w:themeColor="text1"/>
                <w:sz w:val="20"/>
                <w:szCs w:val="20"/>
              </w:rPr>
            </w:pPr>
          </w:p>
          <w:p w14:paraId="0BA4DAB4" w14:textId="77777777" w:rsidR="006B7B8E" w:rsidRPr="004537BE" w:rsidRDefault="006B7B8E" w:rsidP="005C015F">
            <w:pPr>
              <w:rPr>
                <w:rFonts w:cstheme="minorHAnsi"/>
                <w:color w:val="000000" w:themeColor="text1"/>
                <w:sz w:val="20"/>
                <w:szCs w:val="20"/>
              </w:rPr>
            </w:pPr>
          </w:p>
        </w:tc>
        <w:tc>
          <w:tcPr>
            <w:tcW w:w="1219" w:type="pct"/>
          </w:tcPr>
          <w:p w14:paraId="4E66E875" w14:textId="77777777" w:rsidR="006B7B8E" w:rsidRPr="004537BE" w:rsidRDefault="006B7B8E" w:rsidP="003A231E">
            <w:pPr>
              <w:pStyle w:val="ListParagraph"/>
              <w:numPr>
                <w:ilvl w:val="0"/>
                <w:numId w:val="18"/>
              </w:numPr>
              <w:spacing w:after="0"/>
              <w:rPr>
                <w:rFonts w:asciiTheme="minorHAnsi" w:hAnsiTheme="minorHAnsi" w:cstheme="minorHAnsi"/>
                <w:color w:val="000000" w:themeColor="text1"/>
                <w:szCs w:val="20"/>
              </w:rPr>
            </w:pPr>
            <w:r w:rsidRPr="004537BE">
              <w:rPr>
                <w:rFonts w:asciiTheme="minorHAnsi" w:eastAsia="Arial" w:hAnsiTheme="minorHAnsi" w:cstheme="minorHAnsi"/>
                <w:color w:val="000000" w:themeColor="text1"/>
                <w:szCs w:val="20"/>
                <w:lang w:eastAsia="en-GB"/>
              </w:rPr>
              <w:t xml:space="preserve">Section 10(4), </w:t>
            </w:r>
            <w:r w:rsidRPr="004537BE">
              <w:rPr>
                <w:rFonts w:asciiTheme="minorHAnsi" w:hAnsiTheme="minorHAnsi" w:cstheme="minorHAnsi"/>
                <w:color w:val="000000" w:themeColor="text1"/>
                <w:szCs w:val="20"/>
              </w:rPr>
              <w:t>Income Tax Act:</w:t>
            </w:r>
          </w:p>
          <w:p w14:paraId="5CF0ABC4" w14:textId="77777777" w:rsidR="006B7B8E" w:rsidRPr="004537BE" w:rsidRDefault="006B7B8E" w:rsidP="005C015F">
            <w:pPr>
              <w:rPr>
                <w:rFonts w:cstheme="minorHAnsi"/>
                <w:color w:val="000000" w:themeColor="text1"/>
                <w:sz w:val="20"/>
                <w:szCs w:val="20"/>
              </w:rPr>
            </w:pPr>
          </w:p>
          <w:p w14:paraId="17FA6130" w14:textId="77777777" w:rsidR="006B7B8E" w:rsidRPr="004537BE" w:rsidRDefault="006B7B8E" w:rsidP="003A231E">
            <w:pPr>
              <w:pStyle w:val="ListParagraph"/>
              <w:spacing w:after="0"/>
              <w:ind w:left="360"/>
              <w:rPr>
                <w:rFonts w:asciiTheme="minorHAnsi" w:hAnsiTheme="minorHAnsi" w:cstheme="minorHAnsi"/>
                <w:i/>
                <w:iCs/>
                <w:color w:val="000000" w:themeColor="text1"/>
                <w:szCs w:val="20"/>
              </w:rPr>
            </w:pPr>
            <w:r w:rsidRPr="004537BE">
              <w:rPr>
                <w:rFonts w:asciiTheme="minorHAnsi" w:hAnsiTheme="minorHAnsi" w:cstheme="minorHAnsi"/>
                <w:i/>
                <w:iCs/>
                <w:color w:val="000000" w:themeColor="text1"/>
                <w:szCs w:val="20"/>
              </w:rPr>
              <w:t xml:space="preserve">“(4) Where a </w:t>
            </w:r>
            <w:r w:rsidRPr="004537BE">
              <w:rPr>
                <w:rFonts w:asciiTheme="minorHAnsi" w:hAnsiTheme="minorHAnsi" w:cstheme="minorHAnsi"/>
                <w:bCs/>
                <w:i/>
                <w:iCs/>
                <w:color w:val="000000" w:themeColor="text1"/>
                <w:szCs w:val="20"/>
                <w:u w:val="single"/>
              </w:rPr>
              <w:t>resident or a non-resident person</w:t>
            </w:r>
            <w:r w:rsidRPr="004537BE">
              <w:rPr>
                <w:rFonts w:asciiTheme="minorHAnsi" w:hAnsiTheme="minorHAnsi" w:cstheme="minorHAnsi"/>
                <w:i/>
                <w:iCs/>
                <w:color w:val="000000" w:themeColor="text1"/>
                <w:szCs w:val="20"/>
              </w:rPr>
              <w:t xml:space="preserve">, being the </w:t>
            </w:r>
            <w:r w:rsidRPr="004537BE">
              <w:rPr>
                <w:rFonts w:asciiTheme="minorHAnsi" w:hAnsiTheme="minorHAnsi" w:cstheme="minorHAnsi"/>
                <w:bCs/>
                <w:i/>
                <w:iCs/>
                <w:color w:val="000000" w:themeColor="text1"/>
                <w:szCs w:val="20"/>
                <w:u w:val="single"/>
              </w:rPr>
              <w:t>owner or operator of a digital marketplace or platform</w:t>
            </w:r>
            <w:r w:rsidRPr="004537BE">
              <w:rPr>
                <w:rFonts w:asciiTheme="minorHAnsi" w:hAnsiTheme="minorHAnsi" w:cstheme="minorHAnsi"/>
                <w:i/>
                <w:iCs/>
                <w:color w:val="000000" w:themeColor="text1"/>
                <w:szCs w:val="20"/>
              </w:rPr>
              <w:t xml:space="preserve">, </w:t>
            </w:r>
            <w:r w:rsidRPr="004537BE">
              <w:rPr>
                <w:rFonts w:asciiTheme="minorHAnsi" w:hAnsiTheme="minorHAnsi" w:cstheme="minorHAnsi"/>
                <w:bCs/>
                <w:i/>
                <w:iCs/>
                <w:color w:val="000000" w:themeColor="text1"/>
                <w:szCs w:val="20"/>
                <w:u w:val="single"/>
              </w:rPr>
              <w:t>makes or facilitates payment</w:t>
            </w:r>
            <w:r w:rsidRPr="004537BE">
              <w:rPr>
                <w:rFonts w:asciiTheme="minorHAnsi" w:hAnsiTheme="minorHAnsi" w:cstheme="minorHAnsi"/>
                <w:i/>
                <w:iCs/>
                <w:color w:val="000000" w:themeColor="text1"/>
                <w:szCs w:val="20"/>
              </w:rPr>
              <w:t xml:space="preserve"> in respect of digital content monetisation, </w:t>
            </w:r>
            <w:r w:rsidRPr="004537BE">
              <w:rPr>
                <w:rFonts w:asciiTheme="minorHAnsi" w:hAnsiTheme="minorHAnsi" w:cstheme="minorHAnsi"/>
                <w:bCs/>
                <w:i/>
                <w:iCs/>
                <w:color w:val="000000" w:themeColor="text1"/>
                <w:szCs w:val="20"/>
                <w:u w:val="single"/>
              </w:rPr>
              <w:t>property</w:t>
            </w:r>
            <w:r w:rsidRPr="004537BE">
              <w:rPr>
                <w:rFonts w:asciiTheme="minorHAnsi" w:hAnsiTheme="minorHAnsi" w:cstheme="minorHAnsi"/>
                <w:i/>
                <w:iCs/>
                <w:color w:val="000000" w:themeColor="text1"/>
                <w:szCs w:val="20"/>
              </w:rPr>
              <w:t xml:space="preserve"> or services, the </w:t>
            </w:r>
            <w:r w:rsidRPr="004537BE">
              <w:rPr>
                <w:rFonts w:asciiTheme="minorHAnsi" w:hAnsiTheme="minorHAnsi" w:cstheme="minorHAnsi"/>
                <w:bCs/>
                <w:i/>
                <w:iCs/>
                <w:color w:val="000000" w:themeColor="text1"/>
                <w:szCs w:val="20"/>
                <w:u w:val="single"/>
              </w:rPr>
              <w:t>amount thereof</w:t>
            </w:r>
            <w:r w:rsidRPr="004537BE">
              <w:rPr>
                <w:rFonts w:asciiTheme="minorHAnsi" w:hAnsiTheme="minorHAnsi" w:cstheme="minorHAnsi"/>
                <w:i/>
                <w:iCs/>
                <w:color w:val="000000" w:themeColor="text1"/>
                <w:szCs w:val="20"/>
              </w:rPr>
              <w:t xml:space="preserve"> shall be deemed to be income which accrued in or was derived from Kenya.”</w:t>
            </w:r>
          </w:p>
          <w:p w14:paraId="491DE689" w14:textId="77777777" w:rsidR="006B7B8E" w:rsidRPr="004537BE" w:rsidRDefault="006B7B8E" w:rsidP="005C015F">
            <w:pPr>
              <w:rPr>
                <w:rFonts w:cstheme="minorHAnsi"/>
                <w:i/>
                <w:iCs/>
                <w:color w:val="000000" w:themeColor="text1"/>
                <w:sz w:val="20"/>
                <w:szCs w:val="20"/>
              </w:rPr>
            </w:pPr>
          </w:p>
          <w:p w14:paraId="1B21F8E7" w14:textId="77777777" w:rsidR="006B7B8E" w:rsidRPr="004537BE" w:rsidRDefault="006B7B8E" w:rsidP="005C015F">
            <w:pPr>
              <w:widowControl w:val="0"/>
              <w:rPr>
                <w:rFonts w:eastAsia="Arial" w:cstheme="minorHAnsi"/>
                <w:color w:val="000000" w:themeColor="text1"/>
                <w:sz w:val="20"/>
                <w:szCs w:val="20"/>
                <w:lang w:eastAsia="en-GB"/>
              </w:rPr>
            </w:pPr>
          </w:p>
        </w:tc>
        <w:tc>
          <w:tcPr>
            <w:tcW w:w="1372" w:type="pct"/>
          </w:tcPr>
          <w:p w14:paraId="674A78CC" w14:textId="77777777" w:rsidR="007A3EC1" w:rsidRPr="004537BE" w:rsidRDefault="006B7B8E" w:rsidP="005C015F">
            <w:pPr>
              <w:pStyle w:val="ListParagraph"/>
              <w:widowControl w:val="0"/>
              <w:numPr>
                <w:ilvl w:val="0"/>
                <w:numId w:val="19"/>
              </w:numPr>
              <w:spacing w:after="0"/>
              <w:rPr>
                <w:rFonts w:asciiTheme="minorHAnsi" w:eastAsia="Arial" w:hAnsiTheme="minorHAnsi" w:cstheme="minorHAnsi"/>
                <w:color w:val="000000" w:themeColor="text1"/>
                <w:szCs w:val="20"/>
                <w:lang w:eastAsia="en-GB"/>
              </w:rPr>
            </w:pPr>
            <w:r w:rsidRPr="004537BE">
              <w:rPr>
                <w:rFonts w:asciiTheme="minorHAnsi" w:eastAsia="Arial" w:hAnsiTheme="minorHAnsi" w:cstheme="minorHAnsi"/>
                <w:color w:val="000000" w:themeColor="text1"/>
                <w:szCs w:val="20"/>
                <w:lang w:eastAsia="en-GB"/>
              </w:rPr>
              <w:t>Amending Section 10(4) of the ITA to exclude goods and movable property under the definition of the word property through a proviso providing that “property excludes goods and moveable property.</w:t>
            </w:r>
          </w:p>
          <w:p w14:paraId="4793A2CB" w14:textId="703CCB27" w:rsidR="006B7B8E" w:rsidRPr="004537BE" w:rsidRDefault="006B7B8E" w:rsidP="005C015F">
            <w:pPr>
              <w:pStyle w:val="ListParagraph"/>
              <w:widowControl w:val="0"/>
              <w:numPr>
                <w:ilvl w:val="0"/>
                <w:numId w:val="19"/>
              </w:numPr>
              <w:spacing w:after="0"/>
              <w:rPr>
                <w:rFonts w:asciiTheme="minorHAnsi" w:eastAsia="Arial" w:hAnsiTheme="minorHAnsi" w:cstheme="minorHAnsi"/>
                <w:color w:val="000000" w:themeColor="text1"/>
                <w:szCs w:val="20"/>
                <w:lang w:eastAsia="en-GB"/>
              </w:rPr>
            </w:pPr>
            <w:r w:rsidRPr="004537BE">
              <w:rPr>
                <w:rFonts w:asciiTheme="minorHAnsi" w:eastAsia="Arial" w:hAnsiTheme="minorHAnsi" w:cstheme="minorHAnsi"/>
                <w:color w:val="000000" w:themeColor="text1"/>
                <w:szCs w:val="20"/>
                <w:lang w:eastAsia="en-GB"/>
              </w:rPr>
              <w:t xml:space="preserve">Specifically, we propose that the section 10(4) of the ITA should read as follows; </w:t>
            </w:r>
          </w:p>
          <w:p w14:paraId="05D90E5B" w14:textId="77777777" w:rsidR="006B7B8E" w:rsidRPr="004537BE" w:rsidRDefault="006B7B8E" w:rsidP="005C015F">
            <w:pPr>
              <w:widowControl w:val="0"/>
              <w:rPr>
                <w:rFonts w:eastAsia="Arial" w:cstheme="minorHAnsi"/>
                <w:color w:val="000000" w:themeColor="text1"/>
                <w:sz w:val="20"/>
                <w:szCs w:val="20"/>
                <w:lang w:eastAsia="en-GB"/>
              </w:rPr>
            </w:pPr>
          </w:p>
          <w:p w14:paraId="73086CE8" w14:textId="77777777" w:rsidR="006B7B8E" w:rsidRPr="004537BE" w:rsidRDefault="006B7B8E" w:rsidP="007A3EC1">
            <w:pPr>
              <w:widowControl w:val="0"/>
              <w:ind w:left="360"/>
              <w:rPr>
                <w:rFonts w:eastAsia="Arial" w:cstheme="minorHAnsi"/>
                <w:i/>
                <w:iCs/>
                <w:color w:val="000000" w:themeColor="text1"/>
                <w:sz w:val="20"/>
                <w:szCs w:val="20"/>
                <w:lang w:eastAsia="en-GB"/>
              </w:rPr>
            </w:pPr>
            <w:r w:rsidRPr="004537BE">
              <w:rPr>
                <w:rFonts w:eastAsia="Arial" w:cstheme="minorHAnsi"/>
                <w:i/>
                <w:iCs/>
                <w:color w:val="000000" w:themeColor="text1"/>
                <w:sz w:val="20"/>
                <w:szCs w:val="20"/>
                <w:lang w:eastAsia="en-GB"/>
              </w:rPr>
              <w:t xml:space="preserve">(4) Where a resident or a non-resident person, being the owner or operator of a digital marketplace or platform, makes or facilitates payment in respect of digital content monetisation, or services, the amount thereof shall be deemed to be income which accrued in or was derived from Kenya. </w:t>
            </w:r>
          </w:p>
          <w:p w14:paraId="2546F4CC" w14:textId="77777777" w:rsidR="006B7B8E" w:rsidRPr="004537BE" w:rsidRDefault="006B7B8E" w:rsidP="005C015F">
            <w:pPr>
              <w:widowControl w:val="0"/>
              <w:rPr>
                <w:rFonts w:eastAsia="Arial" w:cstheme="minorHAnsi"/>
                <w:color w:val="000000" w:themeColor="text1"/>
                <w:sz w:val="20"/>
                <w:szCs w:val="20"/>
                <w:lang w:eastAsia="en-GB"/>
              </w:rPr>
            </w:pPr>
          </w:p>
          <w:p w14:paraId="2E29FAF8" w14:textId="77777777" w:rsidR="006B7B8E" w:rsidRPr="004537BE" w:rsidRDefault="006B7B8E" w:rsidP="005C015F">
            <w:pPr>
              <w:widowControl w:val="0"/>
              <w:ind w:left="360"/>
              <w:rPr>
                <w:rFonts w:eastAsia="Arial" w:cstheme="minorHAnsi"/>
                <w:color w:val="000000" w:themeColor="text1"/>
                <w:sz w:val="20"/>
                <w:szCs w:val="20"/>
                <w:lang w:eastAsia="en-GB"/>
              </w:rPr>
            </w:pPr>
            <w:r w:rsidRPr="004537BE">
              <w:rPr>
                <w:rFonts w:eastAsia="Arial" w:cstheme="minorHAnsi"/>
                <w:bCs/>
                <w:i/>
                <w:iCs/>
                <w:color w:val="000000" w:themeColor="text1"/>
                <w:sz w:val="20"/>
                <w:szCs w:val="20"/>
                <w:lang w:eastAsia="en-GB"/>
              </w:rPr>
              <w:lastRenderedPageBreak/>
              <w:t>Provided that "property" shall not include goods and movable property</w:t>
            </w:r>
          </w:p>
          <w:p w14:paraId="1B8DD32A" w14:textId="77777777" w:rsidR="006B7B8E" w:rsidRPr="004537BE" w:rsidRDefault="006B7B8E" w:rsidP="005C015F">
            <w:pPr>
              <w:rPr>
                <w:rFonts w:cstheme="minorHAnsi"/>
                <w:color w:val="000000" w:themeColor="text1"/>
                <w:sz w:val="20"/>
                <w:szCs w:val="20"/>
              </w:rPr>
            </w:pPr>
          </w:p>
        </w:tc>
        <w:tc>
          <w:tcPr>
            <w:tcW w:w="1343" w:type="pct"/>
          </w:tcPr>
          <w:p w14:paraId="30BF3BD2" w14:textId="77777777" w:rsidR="007A3EC1" w:rsidRPr="004537BE" w:rsidRDefault="006B7B8E" w:rsidP="007A3EC1">
            <w:pPr>
              <w:pStyle w:val="ListParagraph"/>
              <w:widowControl w:val="0"/>
              <w:numPr>
                <w:ilvl w:val="0"/>
                <w:numId w:val="19"/>
              </w:numPr>
              <w:spacing w:before="240" w:after="0"/>
              <w:rPr>
                <w:rFonts w:asciiTheme="minorHAnsi" w:hAnsiTheme="minorHAnsi" w:cstheme="minorHAnsi"/>
                <w:color w:val="000000" w:themeColor="text1"/>
                <w:szCs w:val="20"/>
                <w:lang w:eastAsia="en-GB"/>
              </w:rPr>
            </w:pPr>
            <w:r w:rsidRPr="004537BE">
              <w:rPr>
                <w:rFonts w:asciiTheme="minorHAnsi" w:eastAsia="Arial" w:hAnsiTheme="minorHAnsi" w:cstheme="minorHAnsi"/>
                <w:bCs/>
                <w:color w:val="000000" w:themeColor="text1"/>
                <w:szCs w:val="20"/>
                <w:lang w:eastAsia="en-GB"/>
              </w:rPr>
              <w:lastRenderedPageBreak/>
              <w:t>Contradiction to Parliament's Intentions</w:t>
            </w:r>
            <w:r w:rsidRPr="004537BE">
              <w:rPr>
                <w:rFonts w:asciiTheme="minorHAnsi" w:eastAsia="Arial" w:hAnsiTheme="minorHAnsi" w:cstheme="minorHAnsi"/>
                <w:color w:val="000000" w:themeColor="text1"/>
                <w:szCs w:val="20"/>
                <w:lang w:eastAsia="en-GB"/>
              </w:rPr>
              <w:t xml:space="preserve">: </w:t>
            </w:r>
            <w:r w:rsidRPr="004537BE">
              <w:rPr>
                <w:rFonts w:asciiTheme="minorHAnsi" w:hAnsiTheme="minorHAnsi" w:cstheme="minorHAnsi"/>
                <w:color w:val="000000" w:themeColor="text1"/>
                <w:szCs w:val="20"/>
                <w:lang w:eastAsia="en-GB"/>
              </w:rPr>
              <w:t xml:space="preserve">The National Assembly Departmental Committee on Finance and National Planning in December 2024 made an amendment to exclude goods under Section 10(4) to promote the e – commerce industry which is at its nascent stage. </w:t>
            </w:r>
            <w:r w:rsidRPr="004537BE">
              <w:rPr>
                <w:rFonts w:asciiTheme="minorHAnsi" w:eastAsia="Arial" w:hAnsiTheme="minorHAnsi" w:cstheme="minorHAnsi"/>
                <w:color w:val="000000" w:themeColor="text1"/>
                <w:szCs w:val="20"/>
                <w:lang w:eastAsia="en-GB"/>
              </w:rPr>
              <w:t xml:space="preserve">The intention of the National assembly was that withholding tax should </w:t>
            </w:r>
            <w:r w:rsidRPr="004537BE">
              <w:rPr>
                <w:rFonts w:asciiTheme="minorHAnsi" w:eastAsia="Arial" w:hAnsiTheme="minorHAnsi" w:cstheme="minorHAnsi"/>
                <w:bCs/>
                <w:i/>
                <w:iCs/>
                <w:color w:val="000000" w:themeColor="text1"/>
                <w:szCs w:val="20"/>
                <w:u w:val="single"/>
                <w:lang w:eastAsia="en-GB"/>
              </w:rPr>
              <w:t>not</w:t>
            </w:r>
            <w:r w:rsidRPr="004537BE">
              <w:rPr>
                <w:rFonts w:asciiTheme="minorHAnsi" w:eastAsia="Arial" w:hAnsiTheme="minorHAnsi" w:cstheme="minorHAnsi"/>
                <w:color w:val="000000" w:themeColor="text1"/>
                <w:szCs w:val="20"/>
                <w:lang w:eastAsia="en-GB"/>
              </w:rPr>
              <w:t xml:space="preserve"> be applicable to goods. The provision as is therefore with the word ‘property’ has the potential to cause uncertainties in the interpretation given the broad definition of "property’’</w:t>
            </w:r>
          </w:p>
          <w:p w14:paraId="38A211D3" w14:textId="77777777" w:rsidR="007A3EC1" w:rsidRPr="004537BE" w:rsidRDefault="006B7B8E" w:rsidP="005C015F">
            <w:pPr>
              <w:pStyle w:val="ListParagraph"/>
              <w:widowControl w:val="0"/>
              <w:numPr>
                <w:ilvl w:val="0"/>
                <w:numId w:val="19"/>
              </w:numPr>
              <w:spacing w:before="240" w:after="0"/>
              <w:rPr>
                <w:rFonts w:asciiTheme="minorHAnsi" w:hAnsiTheme="minorHAnsi" w:cstheme="minorHAnsi"/>
                <w:color w:val="000000" w:themeColor="text1"/>
                <w:szCs w:val="20"/>
                <w:lang w:eastAsia="en-GB"/>
              </w:rPr>
            </w:pPr>
            <w:r w:rsidRPr="004537BE">
              <w:rPr>
                <w:rFonts w:asciiTheme="minorHAnsi" w:eastAsia="Arial" w:hAnsiTheme="minorHAnsi" w:cstheme="minorHAnsi"/>
                <w:bCs/>
                <w:color w:val="000000" w:themeColor="text1"/>
                <w:szCs w:val="20"/>
                <w:lang w:eastAsia="en-GB"/>
              </w:rPr>
              <w:t>Negative Impact on Digital Economy</w:t>
            </w:r>
            <w:r w:rsidRPr="004537BE">
              <w:rPr>
                <w:rFonts w:asciiTheme="minorHAnsi" w:eastAsia="Arial" w:hAnsiTheme="minorHAnsi" w:cstheme="minorHAnsi"/>
                <w:color w:val="000000" w:themeColor="text1"/>
                <w:szCs w:val="20"/>
                <w:lang w:eastAsia="en-GB"/>
              </w:rPr>
              <w:t xml:space="preserve">: Most MSME’s use e-commerce platforms as an additional distribution channel market which means they </w:t>
            </w:r>
            <w:r w:rsidRPr="004537BE">
              <w:rPr>
                <w:rFonts w:asciiTheme="minorHAnsi" w:eastAsia="Arial" w:hAnsiTheme="minorHAnsi" w:cstheme="minorHAnsi"/>
                <w:color w:val="000000" w:themeColor="text1"/>
                <w:szCs w:val="20"/>
                <w:lang w:eastAsia="en-GB"/>
              </w:rPr>
              <w:lastRenderedPageBreak/>
              <w:t xml:space="preserve">already have other offline channels </w:t>
            </w:r>
            <w:proofErr w:type="spellStart"/>
            <w:r w:rsidRPr="004537BE">
              <w:rPr>
                <w:rFonts w:asciiTheme="minorHAnsi" w:eastAsia="Arial" w:hAnsiTheme="minorHAnsi" w:cstheme="minorHAnsi"/>
                <w:color w:val="000000" w:themeColor="text1"/>
                <w:szCs w:val="20"/>
                <w:lang w:eastAsia="en-GB"/>
              </w:rPr>
              <w:t>i.e</w:t>
            </w:r>
            <w:proofErr w:type="spellEnd"/>
            <w:r w:rsidRPr="004537BE">
              <w:rPr>
                <w:rFonts w:asciiTheme="minorHAnsi" w:eastAsia="Arial" w:hAnsiTheme="minorHAnsi" w:cstheme="minorHAnsi"/>
                <w:color w:val="000000" w:themeColor="text1"/>
                <w:szCs w:val="20"/>
                <w:lang w:eastAsia="en-GB"/>
              </w:rPr>
              <w:t xml:space="preserve"> physical stores. WHT on goods will push vendors to physical shops/social media where their sales won't be subject to WHT.</w:t>
            </w:r>
          </w:p>
          <w:p w14:paraId="04123C64" w14:textId="77777777" w:rsidR="007A3EC1" w:rsidRPr="004537BE" w:rsidRDefault="006B7B8E" w:rsidP="005C015F">
            <w:pPr>
              <w:pStyle w:val="ListParagraph"/>
              <w:widowControl w:val="0"/>
              <w:numPr>
                <w:ilvl w:val="0"/>
                <w:numId w:val="19"/>
              </w:numPr>
              <w:spacing w:before="240" w:after="0"/>
              <w:rPr>
                <w:rFonts w:asciiTheme="minorHAnsi" w:hAnsiTheme="minorHAnsi" w:cstheme="minorHAnsi"/>
                <w:color w:val="000000" w:themeColor="text1"/>
                <w:szCs w:val="20"/>
                <w:lang w:eastAsia="en-GB"/>
              </w:rPr>
            </w:pPr>
            <w:r w:rsidRPr="004537BE">
              <w:rPr>
                <w:rFonts w:asciiTheme="minorHAnsi" w:eastAsia="Arial" w:hAnsiTheme="minorHAnsi" w:cstheme="minorHAnsi"/>
                <w:bCs/>
                <w:color w:val="000000" w:themeColor="text1"/>
                <w:szCs w:val="20"/>
                <w:lang w:eastAsia="en-GB"/>
              </w:rPr>
              <w:t>Reversal of MSME Digitization</w:t>
            </w:r>
            <w:r w:rsidRPr="004537BE">
              <w:rPr>
                <w:rFonts w:asciiTheme="minorHAnsi" w:eastAsia="Arial" w:hAnsiTheme="minorHAnsi" w:cstheme="minorHAnsi"/>
                <w:color w:val="000000" w:themeColor="text1"/>
                <w:szCs w:val="20"/>
                <w:lang w:eastAsia="en-GB"/>
              </w:rPr>
              <w:t xml:space="preserve">: WHT on goods sold on digital marketplaces could lead to mass exits from e-commerce platforms, reducing digital economic activity while </w:t>
            </w:r>
            <w:r w:rsidRPr="004537BE">
              <w:rPr>
                <w:rFonts w:asciiTheme="minorHAnsi" w:eastAsia="Arial" w:hAnsiTheme="minorHAnsi" w:cstheme="minorHAnsi"/>
                <w:bCs/>
                <w:color w:val="000000" w:themeColor="text1"/>
                <w:szCs w:val="20"/>
              </w:rPr>
              <w:t>hindering the tax base expansion strategy and BETA objectives.</w:t>
            </w:r>
          </w:p>
          <w:p w14:paraId="4E6A4EAA" w14:textId="77777777" w:rsidR="007A3EC1" w:rsidRPr="004537BE" w:rsidRDefault="006B7B8E" w:rsidP="005C015F">
            <w:pPr>
              <w:pStyle w:val="ListParagraph"/>
              <w:widowControl w:val="0"/>
              <w:numPr>
                <w:ilvl w:val="0"/>
                <w:numId w:val="19"/>
              </w:numPr>
              <w:spacing w:before="240" w:after="0"/>
              <w:rPr>
                <w:rFonts w:asciiTheme="minorHAnsi" w:hAnsiTheme="minorHAnsi" w:cstheme="minorHAnsi"/>
                <w:color w:val="000000" w:themeColor="text1"/>
                <w:szCs w:val="20"/>
                <w:lang w:eastAsia="en-GB"/>
              </w:rPr>
            </w:pPr>
            <w:r w:rsidRPr="004537BE">
              <w:rPr>
                <w:rFonts w:asciiTheme="minorHAnsi" w:eastAsia="Arial" w:hAnsiTheme="minorHAnsi" w:cstheme="minorHAnsi"/>
                <w:bCs/>
                <w:color w:val="000000" w:themeColor="text1"/>
                <w:szCs w:val="20"/>
                <w:lang w:eastAsia="en-GB"/>
              </w:rPr>
              <w:t>Unequal Competition</w:t>
            </w:r>
            <w:r w:rsidRPr="004537BE">
              <w:rPr>
                <w:rFonts w:asciiTheme="minorHAnsi" w:eastAsia="Arial" w:hAnsiTheme="minorHAnsi" w:cstheme="minorHAnsi"/>
                <w:color w:val="000000" w:themeColor="text1"/>
                <w:szCs w:val="20"/>
                <w:lang w:eastAsia="en-GB"/>
              </w:rPr>
              <w:t>: WHT applies only to digital marketplaces, creating unfair competition with physical retailers.</w:t>
            </w:r>
          </w:p>
          <w:p w14:paraId="6D7B484F" w14:textId="6D273B86" w:rsidR="006B7B8E" w:rsidRPr="004537BE" w:rsidRDefault="006B7B8E" w:rsidP="005C015F">
            <w:pPr>
              <w:pStyle w:val="ListParagraph"/>
              <w:widowControl w:val="0"/>
              <w:numPr>
                <w:ilvl w:val="0"/>
                <w:numId w:val="19"/>
              </w:numPr>
              <w:spacing w:before="240" w:after="0"/>
              <w:rPr>
                <w:rFonts w:asciiTheme="minorHAnsi" w:hAnsiTheme="minorHAnsi" w:cstheme="minorHAnsi"/>
                <w:color w:val="000000" w:themeColor="text1"/>
                <w:szCs w:val="20"/>
                <w:lang w:eastAsia="en-GB"/>
              </w:rPr>
            </w:pPr>
            <w:r w:rsidRPr="004537BE">
              <w:rPr>
                <w:rFonts w:asciiTheme="minorHAnsi" w:eastAsia="Arial" w:hAnsiTheme="minorHAnsi" w:cstheme="minorHAnsi"/>
                <w:bCs/>
                <w:color w:val="000000" w:themeColor="text1"/>
                <w:szCs w:val="20"/>
                <w:lang w:eastAsia="en-GB"/>
              </w:rPr>
              <w:t>Tax Rate Inconsistency</w:t>
            </w:r>
            <w:r w:rsidRPr="004537BE">
              <w:rPr>
                <w:rFonts w:asciiTheme="minorHAnsi" w:eastAsia="Arial" w:hAnsiTheme="minorHAnsi" w:cstheme="minorHAnsi"/>
                <w:color w:val="000000" w:themeColor="text1"/>
                <w:szCs w:val="20"/>
                <w:lang w:eastAsia="en-GB"/>
              </w:rPr>
              <w:t>: The 5% WHT is much higher than the current 1.5% Turnover Tax, straining MSMEs' cash flows and increasing tax administration costs.</w:t>
            </w:r>
          </w:p>
        </w:tc>
      </w:tr>
      <w:tr w:rsidR="006B7B8E" w:rsidRPr="004537BE" w14:paraId="28C42F2C" w14:textId="77777777" w:rsidTr="005C015F">
        <w:tc>
          <w:tcPr>
            <w:tcW w:w="151" w:type="pct"/>
          </w:tcPr>
          <w:p w14:paraId="52ED0CAF" w14:textId="77777777" w:rsidR="006B7B8E" w:rsidRPr="004537BE" w:rsidRDefault="006B7B8E" w:rsidP="005C015F">
            <w:pPr>
              <w:pStyle w:val="Heading2"/>
              <w:numPr>
                <w:ilvl w:val="0"/>
                <w:numId w:val="14"/>
              </w:numPr>
              <w:spacing w:before="0" w:after="0"/>
              <w:outlineLvl w:val="1"/>
              <w:rPr>
                <w:rFonts w:asciiTheme="minorHAnsi" w:eastAsia="Arial" w:hAnsiTheme="minorHAnsi" w:cstheme="minorHAnsi"/>
                <w:bCs w:val="0"/>
                <w:color w:val="000000" w:themeColor="text1"/>
                <w:szCs w:val="20"/>
                <w:lang w:eastAsia="en-GB"/>
              </w:rPr>
            </w:pPr>
          </w:p>
        </w:tc>
        <w:tc>
          <w:tcPr>
            <w:tcW w:w="915" w:type="pct"/>
          </w:tcPr>
          <w:p w14:paraId="5B5AABA7" w14:textId="77777777" w:rsidR="007A3EC1" w:rsidRPr="004537BE" w:rsidRDefault="006B7B8E" w:rsidP="007A3EC1">
            <w:pPr>
              <w:pStyle w:val="Heading2"/>
              <w:numPr>
                <w:ilvl w:val="0"/>
                <w:numId w:val="19"/>
              </w:numPr>
              <w:spacing w:before="0" w:after="0"/>
              <w:outlineLvl w:val="1"/>
              <w:rPr>
                <w:rFonts w:asciiTheme="minorHAnsi" w:eastAsia="Arial" w:hAnsiTheme="minorHAnsi" w:cstheme="minorHAnsi"/>
                <w:bCs w:val="0"/>
                <w:color w:val="000000" w:themeColor="text1"/>
                <w:szCs w:val="20"/>
                <w:lang w:eastAsia="en-GB"/>
              </w:rPr>
            </w:pPr>
            <w:bookmarkStart w:id="1" w:name="_Toc198888997"/>
            <w:r w:rsidRPr="004537BE">
              <w:rPr>
                <w:rFonts w:asciiTheme="minorHAnsi" w:eastAsia="Arial" w:hAnsiTheme="minorHAnsi" w:cstheme="minorHAnsi"/>
                <w:bCs w:val="0"/>
                <w:color w:val="000000" w:themeColor="text1"/>
                <w:szCs w:val="20"/>
                <w:lang w:eastAsia="en-GB"/>
              </w:rPr>
              <w:t>New Provision for Inclusion to the Finance Bill 2025</w:t>
            </w:r>
            <w:r w:rsidR="007A3EC1" w:rsidRPr="004537BE">
              <w:rPr>
                <w:rFonts w:asciiTheme="minorHAnsi" w:eastAsia="Arial" w:hAnsiTheme="minorHAnsi" w:cstheme="minorHAnsi"/>
                <w:bCs w:val="0"/>
                <w:color w:val="000000" w:themeColor="text1"/>
                <w:szCs w:val="20"/>
                <w:lang w:eastAsia="en-GB"/>
              </w:rPr>
              <w:t xml:space="preserve"> </w:t>
            </w:r>
          </w:p>
          <w:p w14:paraId="6B0C7A93" w14:textId="0D3F9598" w:rsidR="006B7B8E" w:rsidRPr="004537BE" w:rsidRDefault="006B7B8E" w:rsidP="007A3EC1">
            <w:pPr>
              <w:pStyle w:val="Heading2"/>
              <w:numPr>
                <w:ilvl w:val="0"/>
                <w:numId w:val="0"/>
              </w:numPr>
              <w:spacing w:before="0" w:after="0"/>
              <w:ind w:left="360"/>
              <w:outlineLvl w:val="1"/>
              <w:rPr>
                <w:rFonts w:asciiTheme="minorHAnsi" w:eastAsia="VAGRounded-Light" w:hAnsiTheme="minorHAnsi" w:cstheme="minorHAnsi"/>
                <w:i/>
                <w:color w:val="000000" w:themeColor="text1"/>
                <w:szCs w:val="20"/>
              </w:rPr>
            </w:pPr>
            <w:r w:rsidRPr="004537BE">
              <w:rPr>
                <w:rFonts w:asciiTheme="minorHAnsi" w:eastAsia="VAGRounded-Light" w:hAnsiTheme="minorHAnsi" w:cstheme="minorHAnsi"/>
                <w:i/>
                <w:color w:val="000000" w:themeColor="text1"/>
                <w:szCs w:val="20"/>
              </w:rPr>
              <w:t>PAYE Tax Bands of 35% and 32.5%</w:t>
            </w:r>
            <w:bookmarkEnd w:id="1"/>
          </w:p>
          <w:p w14:paraId="58C753E9" w14:textId="77777777" w:rsidR="006B7B8E" w:rsidRPr="004537BE" w:rsidRDefault="006B7B8E" w:rsidP="005C015F">
            <w:pPr>
              <w:rPr>
                <w:rFonts w:cstheme="minorHAnsi"/>
                <w:bCs/>
                <w:i/>
                <w:iCs/>
                <w:color w:val="000000" w:themeColor="text1"/>
                <w:sz w:val="20"/>
                <w:szCs w:val="20"/>
              </w:rPr>
            </w:pPr>
          </w:p>
        </w:tc>
        <w:tc>
          <w:tcPr>
            <w:tcW w:w="1219" w:type="pct"/>
          </w:tcPr>
          <w:p w14:paraId="71EAEAE2" w14:textId="77777777" w:rsidR="006B7B8E" w:rsidRPr="004537BE" w:rsidRDefault="006B7B8E" w:rsidP="007A3EC1">
            <w:pPr>
              <w:pStyle w:val="ListParagraph"/>
              <w:numPr>
                <w:ilvl w:val="0"/>
                <w:numId w:val="19"/>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The Finance Act 2023 Introduced two PAYE tax bands to individual rates of tax by amending paragraph 1 of Head B of the Third schedule of the Income Tax Act. The current Individual rates of Tax for PAYE are as below;</w:t>
            </w:r>
          </w:p>
          <w:p w14:paraId="5C41C6C0" w14:textId="77777777" w:rsidR="006B7B8E" w:rsidRPr="004537BE" w:rsidRDefault="006B7B8E" w:rsidP="005C015F">
            <w:pPr>
              <w:rPr>
                <w:rFonts w:cstheme="minorHAnsi"/>
                <w:color w:val="000000" w:themeColor="text1"/>
                <w:sz w:val="20"/>
                <w:szCs w:val="20"/>
              </w:rPr>
            </w:pPr>
          </w:p>
          <w:p w14:paraId="6272AE42" w14:textId="77777777" w:rsidR="006B7B8E" w:rsidRPr="004537BE" w:rsidRDefault="006B7B8E" w:rsidP="005C015F">
            <w:pPr>
              <w:rPr>
                <w:rFonts w:cstheme="minorHAnsi"/>
                <w:color w:val="000000" w:themeColor="text1"/>
                <w:sz w:val="20"/>
                <w:szCs w:val="20"/>
              </w:rPr>
            </w:pPr>
          </w:p>
          <w:p w14:paraId="6493F324" w14:textId="77777777" w:rsidR="006B7B8E" w:rsidRPr="004537BE" w:rsidRDefault="006B7B8E" w:rsidP="005C015F">
            <w:pPr>
              <w:rPr>
                <w:rFonts w:cstheme="minorHAnsi"/>
                <w:bCs/>
                <w:color w:val="000000" w:themeColor="text1"/>
                <w:sz w:val="20"/>
                <w:szCs w:val="20"/>
              </w:rPr>
            </w:pPr>
            <w:r w:rsidRPr="004537BE">
              <w:rPr>
                <w:rFonts w:cstheme="minorHAnsi"/>
                <w:bCs/>
                <w:color w:val="000000" w:themeColor="text1"/>
                <w:sz w:val="20"/>
                <w:szCs w:val="20"/>
              </w:rPr>
              <w:t>Annually                               Rate in each shilling</w:t>
            </w:r>
          </w:p>
          <w:p w14:paraId="1AE38BC4" w14:textId="77777777" w:rsidR="006B7B8E" w:rsidRPr="004537BE" w:rsidRDefault="006B7B8E" w:rsidP="005C015F">
            <w:pPr>
              <w:rPr>
                <w:rFonts w:cstheme="minorHAnsi"/>
                <w:color w:val="000000" w:themeColor="text1"/>
                <w:sz w:val="20"/>
                <w:szCs w:val="20"/>
              </w:rPr>
            </w:pPr>
            <w:r w:rsidRPr="004537BE">
              <w:rPr>
                <w:rFonts w:cstheme="minorHAnsi"/>
                <w:color w:val="000000" w:themeColor="text1"/>
                <w:sz w:val="20"/>
                <w:szCs w:val="20"/>
              </w:rPr>
              <w:lastRenderedPageBreak/>
              <w:t xml:space="preserve">On the first </w:t>
            </w:r>
            <w:proofErr w:type="spellStart"/>
            <w:r w:rsidRPr="004537BE">
              <w:rPr>
                <w:rFonts w:cstheme="minorHAnsi"/>
                <w:color w:val="000000" w:themeColor="text1"/>
                <w:sz w:val="20"/>
                <w:szCs w:val="20"/>
              </w:rPr>
              <w:t>Ksh</w:t>
            </w:r>
            <w:proofErr w:type="spellEnd"/>
            <w:r w:rsidRPr="004537BE">
              <w:rPr>
                <w:rFonts w:cstheme="minorHAnsi"/>
                <w:color w:val="000000" w:themeColor="text1"/>
                <w:sz w:val="20"/>
                <w:szCs w:val="20"/>
              </w:rPr>
              <w:t>. 288,000                                10%</w:t>
            </w:r>
          </w:p>
          <w:p w14:paraId="26758FF5" w14:textId="77777777" w:rsidR="006B7B8E" w:rsidRPr="004537BE" w:rsidRDefault="006B7B8E" w:rsidP="005C015F">
            <w:pPr>
              <w:rPr>
                <w:rFonts w:cstheme="minorHAnsi"/>
                <w:color w:val="000000" w:themeColor="text1"/>
                <w:sz w:val="20"/>
                <w:szCs w:val="20"/>
              </w:rPr>
            </w:pPr>
            <w:r w:rsidRPr="004537BE">
              <w:rPr>
                <w:rFonts w:cstheme="minorHAnsi"/>
                <w:color w:val="000000" w:themeColor="text1"/>
                <w:sz w:val="20"/>
                <w:szCs w:val="20"/>
              </w:rPr>
              <w:t xml:space="preserve">On the next </w:t>
            </w:r>
            <w:proofErr w:type="spellStart"/>
            <w:r w:rsidRPr="004537BE">
              <w:rPr>
                <w:rFonts w:cstheme="minorHAnsi"/>
                <w:color w:val="000000" w:themeColor="text1"/>
                <w:sz w:val="20"/>
                <w:szCs w:val="20"/>
              </w:rPr>
              <w:t>Ksh</w:t>
            </w:r>
            <w:proofErr w:type="spellEnd"/>
            <w:r w:rsidRPr="004537BE">
              <w:rPr>
                <w:rFonts w:cstheme="minorHAnsi"/>
                <w:color w:val="000000" w:themeColor="text1"/>
                <w:sz w:val="20"/>
                <w:szCs w:val="20"/>
              </w:rPr>
              <w:t>. 100,000                                25%</w:t>
            </w:r>
          </w:p>
          <w:p w14:paraId="072074DC" w14:textId="77777777" w:rsidR="006B7B8E" w:rsidRPr="004537BE" w:rsidRDefault="006B7B8E" w:rsidP="005C015F">
            <w:pPr>
              <w:rPr>
                <w:rFonts w:cstheme="minorHAnsi"/>
                <w:color w:val="000000" w:themeColor="text1"/>
                <w:sz w:val="20"/>
                <w:szCs w:val="20"/>
              </w:rPr>
            </w:pPr>
            <w:r w:rsidRPr="004537BE">
              <w:rPr>
                <w:rFonts w:cstheme="minorHAnsi"/>
                <w:color w:val="000000" w:themeColor="text1"/>
                <w:sz w:val="20"/>
                <w:szCs w:val="20"/>
              </w:rPr>
              <w:t xml:space="preserve">On the next </w:t>
            </w:r>
            <w:proofErr w:type="spellStart"/>
            <w:r w:rsidRPr="004537BE">
              <w:rPr>
                <w:rFonts w:cstheme="minorHAnsi"/>
                <w:color w:val="000000" w:themeColor="text1"/>
                <w:sz w:val="20"/>
                <w:szCs w:val="20"/>
              </w:rPr>
              <w:t>Ksh</w:t>
            </w:r>
            <w:proofErr w:type="spellEnd"/>
            <w:r w:rsidRPr="004537BE">
              <w:rPr>
                <w:rFonts w:cstheme="minorHAnsi"/>
                <w:color w:val="000000" w:themeColor="text1"/>
                <w:sz w:val="20"/>
                <w:szCs w:val="20"/>
              </w:rPr>
              <w:t>. 5,612,000                              30%</w:t>
            </w:r>
          </w:p>
          <w:p w14:paraId="032FE103" w14:textId="77777777" w:rsidR="006B7B8E" w:rsidRPr="004537BE" w:rsidRDefault="006B7B8E" w:rsidP="005C015F">
            <w:pPr>
              <w:rPr>
                <w:rFonts w:cstheme="minorHAnsi"/>
                <w:bCs/>
                <w:i/>
                <w:iCs/>
                <w:color w:val="000000" w:themeColor="text1"/>
                <w:sz w:val="20"/>
                <w:szCs w:val="20"/>
              </w:rPr>
            </w:pPr>
            <w:r w:rsidRPr="004537BE">
              <w:rPr>
                <w:rFonts w:cstheme="minorHAnsi"/>
                <w:bCs/>
                <w:i/>
                <w:iCs/>
                <w:color w:val="000000" w:themeColor="text1"/>
                <w:sz w:val="20"/>
                <w:szCs w:val="20"/>
              </w:rPr>
              <w:t xml:space="preserve">On the next </w:t>
            </w:r>
            <w:proofErr w:type="spellStart"/>
            <w:r w:rsidRPr="004537BE">
              <w:rPr>
                <w:rFonts w:cstheme="minorHAnsi"/>
                <w:bCs/>
                <w:i/>
                <w:iCs/>
                <w:color w:val="000000" w:themeColor="text1"/>
                <w:sz w:val="20"/>
                <w:szCs w:val="20"/>
              </w:rPr>
              <w:t>Ksh</w:t>
            </w:r>
            <w:proofErr w:type="spellEnd"/>
            <w:r w:rsidRPr="004537BE">
              <w:rPr>
                <w:rFonts w:cstheme="minorHAnsi"/>
                <w:bCs/>
                <w:i/>
                <w:iCs/>
                <w:color w:val="000000" w:themeColor="text1"/>
                <w:sz w:val="20"/>
                <w:szCs w:val="20"/>
              </w:rPr>
              <w:t>. 3,600,000                                32.5%</w:t>
            </w:r>
          </w:p>
          <w:p w14:paraId="5ED7CF55" w14:textId="77777777" w:rsidR="006B7B8E" w:rsidRPr="004537BE" w:rsidRDefault="006B7B8E" w:rsidP="005C015F">
            <w:pPr>
              <w:rPr>
                <w:rFonts w:cstheme="minorHAnsi"/>
                <w:bCs/>
                <w:i/>
                <w:iCs/>
                <w:color w:val="000000" w:themeColor="text1"/>
                <w:sz w:val="20"/>
                <w:szCs w:val="20"/>
              </w:rPr>
            </w:pPr>
            <w:r w:rsidRPr="004537BE">
              <w:rPr>
                <w:rFonts w:cstheme="minorHAnsi"/>
                <w:bCs/>
                <w:i/>
                <w:iCs/>
                <w:color w:val="000000" w:themeColor="text1"/>
                <w:sz w:val="20"/>
                <w:szCs w:val="20"/>
              </w:rPr>
              <w:t xml:space="preserve">On all income over </w:t>
            </w:r>
            <w:proofErr w:type="spellStart"/>
            <w:r w:rsidRPr="004537BE">
              <w:rPr>
                <w:rFonts w:cstheme="minorHAnsi"/>
                <w:bCs/>
                <w:i/>
                <w:iCs/>
                <w:color w:val="000000" w:themeColor="text1"/>
                <w:sz w:val="20"/>
                <w:szCs w:val="20"/>
              </w:rPr>
              <w:t>Ksh</w:t>
            </w:r>
            <w:proofErr w:type="spellEnd"/>
            <w:r w:rsidRPr="004537BE">
              <w:rPr>
                <w:rFonts w:cstheme="minorHAnsi"/>
                <w:bCs/>
                <w:i/>
                <w:iCs/>
                <w:color w:val="000000" w:themeColor="text1"/>
                <w:sz w:val="20"/>
                <w:szCs w:val="20"/>
              </w:rPr>
              <w:t>. 9,600,000               35%</w:t>
            </w:r>
          </w:p>
          <w:p w14:paraId="1839E645" w14:textId="77777777" w:rsidR="006B7B8E" w:rsidRPr="004537BE" w:rsidRDefault="006B7B8E" w:rsidP="005C015F">
            <w:pPr>
              <w:rPr>
                <w:rFonts w:cstheme="minorHAnsi"/>
                <w:color w:val="000000" w:themeColor="text1"/>
                <w:sz w:val="20"/>
                <w:szCs w:val="20"/>
              </w:rPr>
            </w:pPr>
          </w:p>
          <w:p w14:paraId="0043AF40" w14:textId="77777777" w:rsidR="006B7B8E" w:rsidRPr="004537BE" w:rsidRDefault="006B7B8E" w:rsidP="005C015F">
            <w:pPr>
              <w:rPr>
                <w:rFonts w:cstheme="minorHAnsi"/>
                <w:bCs/>
                <w:color w:val="000000" w:themeColor="text1"/>
                <w:sz w:val="20"/>
                <w:szCs w:val="20"/>
              </w:rPr>
            </w:pPr>
            <w:r w:rsidRPr="004537BE">
              <w:rPr>
                <w:rFonts w:cstheme="minorHAnsi"/>
                <w:bCs/>
                <w:color w:val="000000" w:themeColor="text1"/>
                <w:sz w:val="20"/>
                <w:szCs w:val="20"/>
              </w:rPr>
              <w:t>Monthly</w:t>
            </w:r>
          </w:p>
          <w:p w14:paraId="3FA6D6FC" w14:textId="77777777" w:rsidR="006B7B8E" w:rsidRPr="004537BE" w:rsidRDefault="006B7B8E" w:rsidP="005C015F">
            <w:pPr>
              <w:rPr>
                <w:rFonts w:cstheme="minorHAnsi"/>
                <w:color w:val="000000" w:themeColor="text1"/>
                <w:sz w:val="20"/>
                <w:szCs w:val="20"/>
              </w:rPr>
            </w:pPr>
            <w:r w:rsidRPr="004537BE">
              <w:rPr>
                <w:rFonts w:cstheme="minorHAnsi"/>
                <w:color w:val="000000" w:themeColor="text1"/>
                <w:sz w:val="20"/>
                <w:szCs w:val="20"/>
              </w:rPr>
              <w:t xml:space="preserve">On the first </w:t>
            </w:r>
            <w:proofErr w:type="spellStart"/>
            <w:r w:rsidRPr="004537BE">
              <w:rPr>
                <w:rFonts w:cstheme="minorHAnsi"/>
                <w:color w:val="000000" w:themeColor="text1"/>
                <w:sz w:val="20"/>
                <w:szCs w:val="20"/>
              </w:rPr>
              <w:t>Ksh</w:t>
            </w:r>
            <w:proofErr w:type="spellEnd"/>
            <w:r w:rsidRPr="004537BE">
              <w:rPr>
                <w:rFonts w:cstheme="minorHAnsi"/>
                <w:color w:val="000000" w:themeColor="text1"/>
                <w:sz w:val="20"/>
                <w:szCs w:val="20"/>
              </w:rPr>
              <w:t>. 24,000                                10%</w:t>
            </w:r>
          </w:p>
          <w:p w14:paraId="7E9245E1" w14:textId="77777777" w:rsidR="006B7B8E" w:rsidRPr="004537BE" w:rsidRDefault="006B7B8E" w:rsidP="005C015F">
            <w:pPr>
              <w:rPr>
                <w:rFonts w:cstheme="minorHAnsi"/>
                <w:color w:val="000000" w:themeColor="text1"/>
                <w:sz w:val="20"/>
                <w:szCs w:val="20"/>
              </w:rPr>
            </w:pPr>
            <w:r w:rsidRPr="004537BE">
              <w:rPr>
                <w:rFonts w:cstheme="minorHAnsi"/>
                <w:color w:val="000000" w:themeColor="text1"/>
                <w:sz w:val="20"/>
                <w:szCs w:val="20"/>
              </w:rPr>
              <w:t xml:space="preserve">On the next </w:t>
            </w:r>
            <w:proofErr w:type="spellStart"/>
            <w:r w:rsidRPr="004537BE">
              <w:rPr>
                <w:rFonts w:cstheme="minorHAnsi"/>
                <w:color w:val="000000" w:themeColor="text1"/>
                <w:sz w:val="20"/>
                <w:szCs w:val="20"/>
              </w:rPr>
              <w:t>Ksh</w:t>
            </w:r>
            <w:proofErr w:type="spellEnd"/>
            <w:r w:rsidRPr="004537BE">
              <w:rPr>
                <w:rFonts w:cstheme="minorHAnsi"/>
                <w:color w:val="000000" w:themeColor="text1"/>
                <w:sz w:val="20"/>
                <w:szCs w:val="20"/>
              </w:rPr>
              <w:t>. 8,333                                 25%</w:t>
            </w:r>
          </w:p>
          <w:p w14:paraId="4C8FCA24" w14:textId="77777777" w:rsidR="006B7B8E" w:rsidRPr="004537BE" w:rsidRDefault="006B7B8E" w:rsidP="005C015F">
            <w:pPr>
              <w:rPr>
                <w:rFonts w:cstheme="minorHAnsi"/>
                <w:color w:val="000000" w:themeColor="text1"/>
                <w:sz w:val="20"/>
                <w:szCs w:val="20"/>
              </w:rPr>
            </w:pPr>
            <w:r w:rsidRPr="004537BE">
              <w:rPr>
                <w:rFonts w:cstheme="minorHAnsi"/>
                <w:color w:val="000000" w:themeColor="text1"/>
                <w:sz w:val="20"/>
                <w:szCs w:val="20"/>
              </w:rPr>
              <w:t xml:space="preserve">On the next </w:t>
            </w:r>
            <w:proofErr w:type="spellStart"/>
            <w:r w:rsidRPr="004537BE">
              <w:rPr>
                <w:rFonts w:cstheme="minorHAnsi"/>
                <w:color w:val="000000" w:themeColor="text1"/>
                <w:sz w:val="20"/>
                <w:szCs w:val="20"/>
              </w:rPr>
              <w:t>Ksh</w:t>
            </w:r>
            <w:proofErr w:type="spellEnd"/>
            <w:r w:rsidRPr="004537BE">
              <w:rPr>
                <w:rFonts w:cstheme="minorHAnsi"/>
                <w:color w:val="000000" w:themeColor="text1"/>
                <w:sz w:val="20"/>
                <w:szCs w:val="20"/>
              </w:rPr>
              <w:t>. 467,667                              30%</w:t>
            </w:r>
          </w:p>
          <w:p w14:paraId="434A953A" w14:textId="77777777" w:rsidR="006B7B8E" w:rsidRPr="004537BE" w:rsidRDefault="006B7B8E" w:rsidP="005C015F">
            <w:pPr>
              <w:rPr>
                <w:rFonts w:cstheme="minorHAnsi"/>
                <w:bCs/>
                <w:i/>
                <w:iCs/>
                <w:color w:val="000000" w:themeColor="text1"/>
                <w:sz w:val="20"/>
                <w:szCs w:val="20"/>
              </w:rPr>
            </w:pPr>
            <w:r w:rsidRPr="004537BE">
              <w:rPr>
                <w:rFonts w:cstheme="minorHAnsi"/>
                <w:bCs/>
                <w:i/>
                <w:iCs/>
                <w:color w:val="000000" w:themeColor="text1"/>
                <w:sz w:val="20"/>
                <w:szCs w:val="20"/>
              </w:rPr>
              <w:t xml:space="preserve">On the next </w:t>
            </w:r>
            <w:proofErr w:type="spellStart"/>
            <w:r w:rsidRPr="004537BE">
              <w:rPr>
                <w:rFonts w:cstheme="minorHAnsi"/>
                <w:bCs/>
                <w:i/>
                <w:iCs/>
                <w:color w:val="000000" w:themeColor="text1"/>
                <w:sz w:val="20"/>
                <w:szCs w:val="20"/>
              </w:rPr>
              <w:t>Ksh</w:t>
            </w:r>
            <w:proofErr w:type="spellEnd"/>
            <w:r w:rsidRPr="004537BE">
              <w:rPr>
                <w:rFonts w:cstheme="minorHAnsi"/>
                <w:bCs/>
                <w:i/>
                <w:iCs/>
                <w:color w:val="000000" w:themeColor="text1"/>
                <w:sz w:val="20"/>
                <w:szCs w:val="20"/>
              </w:rPr>
              <w:t>. 300,000                                  32.5%</w:t>
            </w:r>
          </w:p>
          <w:p w14:paraId="1F4BBD38" w14:textId="77777777" w:rsidR="006B7B8E" w:rsidRPr="004537BE" w:rsidRDefault="006B7B8E" w:rsidP="005C015F">
            <w:pPr>
              <w:rPr>
                <w:rFonts w:cstheme="minorHAnsi"/>
                <w:bCs/>
                <w:i/>
                <w:iCs/>
                <w:color w:val="000000" w:themeColor="text1"/>
                <w:sz w:val="20"/>
                <w:szCs w:val="20"/>
              </w:rPr>
            </w:pPr>
            <w:r w:rsidRPr="004537BE">
              <w:rPr>
                <w:rFonts w:cstheme="minorHAnsi"/>
                <w:bCs/>
                <w:i/>
                <w:iCs/>
                <w:color w:val="000000" w:themeColor="text1"/>
                <w:sz w:val="20"/>
                <w:szCs w:val="20"/>
              </w:rPr>
              <w:t xml:space="preserve">On all income over </w:t>
            </w:r>
            <w:proofErr w:type="spellStart"/>
            <w:r w:rsidRPr="004537BE">
              <w:rPr>
                <w:rFonts w:cstheme="minorHAnsi"/>
                <w:bCs/>
                <w:i/>
                <w:iCs/>
                <w:color w:val="000000" w:themeColor="text1"/>
                <w:sz w:val="20"/>
                <w:szCs w:val="20"/>
              </w:rPr>
              <w:t>Ksh</w:t>
            </w:r>
            <w:proofErr w:type="spellEnd"/>
            <w:r w:rsidRPr="004537BE">
              <w:rPr>
                <w:rFonts w:cstheme="minorHAnsi"/>
                <w:bCs/>
                <w:i/>
                <w:iCs/>
                <w:color w:val="000000" w:themeColor="text1"/>
                <w:sz w:val="20"/>
                <w:szCs w:val="20"/>
              </w:rPr>
              <w:t>. 800,000                   35%</w:t>
            </w:r>
          </w:p>
        </w:tc>
        <w:tc>
          <w:tcPr>
            <w:tcW w:w="1372" w:type="pct"/>
          </w:tcPr>
          <w:p w14:paraId="2EC3C008" w14:textId="26AAB00D" w:rsidR="007A3EC1" w:rsidRPr="004537BE" w:rsidRDefault="006B7B8E" w:rsidP="005C015F">
            <w:pPr>
              <w:pStyle w:val="ListParagraph"/>
              <w:numPr>
                <w:ilvl w:val="0"/>
                <w:numId w:val="19"/>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We propose that the Third Schedule of the Income Tax Act be amended to ensure the highest PAYE tax Band is 30%.</w:t>
            </w:r>
          </w:p>
          <w:p w14:paraId="7D309E96" w14:textId="77777777" w:rsidR="007A3EC1" w:rsidRPr="004537BE" w:rsidRDefault="007A3EC1" w:rsidP="007A3EC1">
            <w:pPr>
              <w:pStyle w:val="ListParagraph"/>
              <w:spacing w:after="0"/>
              <w:ind w:left="360"/>
              <w:rPr>
                <w:rFonts w:asciiTheme="minorHAnsi" w:hAnsiTheme="minorHAnsi" w:cstheme="minorHAnsi"/>
                <w:color w:val="000000" w:themeColor="text1"/>
                <w:szCs w:val="20"/>
              </w:rPr>
            </w:pPr>
          </w:p>
          <w:p w14:paraId="27DCFDFE" w14:textId="53EFBA1D" w:rsidR="006B7B8E" w:rsidRPr="004537BE" w:rsidRDefault="006B7B8E" w:rsidP="005C015F">
            <w:pPr>
              <w:pStyle w:val="ListParagraph"/>
              <w:numPr>
                <w:ilvl w:val="0"/>
                <w:numId w:val="19"/>
              </w:numPr>
              <w:spacing w:after="0"/>
              <w:rPr>
                <w:rFonts w:asciiTheme="minorHAnsi" w:hAnsiTheme="minorHAnsi" w:cstheme="minorHAnsi"/>
                <w:color w:val="000000" w:themeColor="text1"/>
                <w:szCs w:val="20"/>
              </w:rPr>
            </w:pPr>
            <w:r w:rsidRPr="004537BE">
              <w:rPr>
                <w:rFonts w:asciiTheme="minorHAnsi" w:hAnsiTheme="minorHAnsi" w:cstheme="minorHAnsi"/>
                <w:bCs/>
                <w:color w:val="000000" w:themeColor="text1"/>
                <w:szCs w:val="20"/>
              </w:rPr>
              <w:t>Wording in the bill</w:t>
            </w:r>
          </w:p>
          <w:p w14:paraId="3E4D971A" w14:textId="2BDD4C51" w:rsidR="006B7B8E" w:rsidRPr="004537BE" w:rsidRDefault="006B7B8E" w:rsidP="007A3EC1">
            <w:pPr>
              <w:ind w:left="360"/>
              <w:rPr>
                <w:rFonts w:cstheme="minorHAnsi"/>
                <w:color w:val="000000" w:themeColor="text1"/>
                <w:sz w:val="20"/>
                <w:szCs w:val="20"/>
              </w:rPr>
            </w:pPr>
            <w:r w:rsidRPr="004537BE">
              <w:rPr>
                <w:rFonts w:cstheme="minorHAnsi"/>
                <w:color w:val="000000" w:themeColor="text1"/>
                <w:sz w:val="20"/>
                <w:szCs w:val="20"/>
              </w:rPr>
              <w:t xml:space="preserve">A new proviso be added in the Finance Bill ,2025 immediately after section 28 (e) of the bill and read as </w:t>
            </w:r>
            <w:proofErr w:type="gramStart"/>
            <w:r w:rsidRPr="004537BE">
              <w:rPr>
                <w:rFonts w:cstheme="minorHAnsi"/>
                <w:color w:val="000000" w:themeColor="text1"/>
                <w:sz w:val="20"/>
                <w:szCs w:val="20"/>
              </w:rPr>
              <w:t>follows;</w:t>
            </w:r>
            <w:r w:rsidR="007A3EC1" w:rsidRPr="004537BE">
              <w:rPr>
                <w:rFonts w:cstheme="minorHAnsi"/>
                <w:color w:val="000000" w:themeColor="text1"/>
                <w:sz w:val="20"/>
                <w:szCs w:val="20"/>
                <w:lang w:val="en-US"/>
              </w:rPr>
              <w:t xml:space="preserve"> </w:t>
            </w:r>
            <w:r w:rsidRPr="004537BE">
              <w:rPr>
                <w:rFonts w:cstheme="minorHAnsi"/>
                <w:color w:val="000000" w:themeColor="text1"/>
                <w:sz w:val="20"/>
                <w:szCs w:val="20"/>
              </w:rPr>
              <w:t xml:space="preserve"> </w:t>
            </w:r>
            <w:r w:rsidRPr="004537BE">
              <w:rPr>
                <w:rFonts w:cstheme="minorHAnsi"/>
                <w:bCs/>
                <w:i/>
                <w:iCs/>
                <w:color w:val="000000" w:themeColor="text1"/>
                <w:sz w:val="20"/>
                <w:szCs w:val="20"/>
              </w:rPr>
              <w:t>(</w:t>
            </w:r>
            <w:proofErr w:type="gramEnd"/>
            <w:r w:rsidRPr="004537BE">
              <w:rPr>
                <w:rFonts w:cstheme="minorHAnsi"/>
                <w:bCs/>
                <w:i/>
                <w:iCs/>
                <w:color w:val="000000" w:themeColor="text1"/>
                <w:sz w:val="20"/>
                <w:szCs w:val="20"/>
              </w:rPr>
              <w:t>f) by deleting paragraph 1(Under Head B-Rates of Tax) and substituting therefor the following new paragraph—</w:t>
            </w:r>
          </w:p>
          <w:p w14:paraId="41AA85AE" w14:textId="77777777" w:rsidR="006B7B8E" w:rsidRPr="004537BE" w:rsidRDefault="006B7B8E" w:rsidP="005C015F">
            <w:pPr>
              <w:rPr>
                <w:rFonts w:cstheme="minorHAnsi"/>
                <w:bCs/>
                <w:i/>
                <w:iCs/>
                <w:color w:val="000000" w:themeColor="text1"/>
                <w:sz w:val="20"/>
                <w:szCs w:val="20"/>
              </w:rPr>
            </w:pPr>
            <w:r w:rsidRPr="004537BE">
              <w:rPr>
                <w:rFonts w:cstheme="minorHAnsi"/>
                <w:bCs/>
                <w:i/>
                <w:iCs/>
                <w:color w:val="000000" w:themeColor="text1"/>
                <w:sz w:val="20"/>
                <w:szCs w:val="20"/>
              </w:rPr>
              <w:lastRenderedPageBreak/>
              <w:t>1. The individual rates of tax shall be—</w:t>
            </w:r>
          </w:p>
          <w:p w14:paraId="45D737C2" w14:textId="77777777" w:rsidR="006B7B8E" w:rsidRPr="004537BE" w:rsidRDefault="006B7B8E" w:rsidP="005C015F">
            <w:pPr>
              <w:rPr>
                <w:rFonts w:cstheme="minorHAnsi"/>
                <w:bCs/>
                <w:i/>
                <w:iCs/>
                <w:color w:val="000000" w:themeColor="text1"/>
                <w:sz w:val="20"/>
                <w:szCs w:val="20"/>
              </w:rPr>
            </w:pPr>
            <w:r w:rsidRPr="004537BE">
              <w:rPr>
                <w:rFonts w:cstheme="minorHAnsi"/>
                <w:bCs/>
                <w:i/>
                <w:iCs/>
                <w:color w:val="000000" w:themeColor="text1"/>
                <w:sz w:val="20"/>
                <w:szCs w:val="20"/>
              </w:rPr>
              <w:t xml:space="preserve">                                         Rate in each shilling</w:t>
            </w:r>
          </w:p>
          <w:p w14:paraId="6C82D541" w14:textId="77777777" w:rsidR="006B7B8E" w:rsidRPr="004537BE" w:rsidRDefault="006B7B8E" w:rsidP="005C015F">
            <w:pPr>
              <w:rPr>
                <w:rFonts w:cstheme="minorHAnsi"/>
                <w:bCs/>
                <w:i/>
                <w:iCs/>
                <w:color w:val="000000" w:themeColor="text1"/>
                <w:sz w:val="20"/>
                <w:szCs w:val="20"/>
              </w:rPr>
            </w:pPr>
            <w:r w:rsidRPr="004537BE">
              <w:rPr>
                <w:rFonts w:cstheme="minorHAnsi"/>
                <w:bCs/>
                <w:i/>
                <w:iCs/>
                <w:color w:val="000000" w:themeColor="text1"/>
                <w:sz w:val="20"/>
                <w:szCs w:val="20"/>
              </w:rPr>
              <w:t xml:space="preserve">On the first </w:t>
            </w:r>
            <w:proofErr w:type="spellStart"/>
            <w:r w:rsidRPr="004537BE">
              <w:rPr>
                <w:rFonts w:cstheme="minorHAnsi"/>
                <w:bCs/>
                <w:i/>
                <w:iCs/>
                <w:color w:val="000000" w:themeColor="text1"/>
                <w:sz w:val="20"/>
                <w:szCs w:val="20"/>
              </w:rPr>
              <w:t>Ksh</w:t>
            </w:r>
            <w:proofErr w:type="spellEnd"/>
            <w:r w:rsidRPr="004537BE">
              <w:rPr>
                <w:rFonts w:cstheme="minorHAnsi"/>
                <w:bCs/>
                <w:i/>
                <w:iCs/>
                <w:color w:val="000000" w:themeColor="text1"/>
                <w:sz w:val="20"/>
                <w:szCs w:val="20"/>
              </w:rPr>
              <w:t>. 288,000                                10%</w:t>
            </w:r>
          </w:p>
          <w:p w14:paraId="723C1F43" w14:textId="77777777" w:rsidR="006B7B8E" w:rsidRPr="004537BE" w:rsidRDefault="006B7B8E" w:rsidP="005C015F">
            <w:pPr>
              <w:rPr>
                <w:rFonts w:cstheme="minorHAnsi"/>
                <w:bCs/>
                <w:i/>
                <w:iCs/>
                <w:color w:val="000000" w:themeColor="text1"/>
                <w:sz w:val="20"/>
                <w:szCs w:val="20"/>
              </w:rPr>
            </w:pPr>
            <w:r w:rsidRPr="004537BE">
              <w:rPr>
                <w:rFonts w:cstheme="minorHAnsi"/>
                <w:bCs/>
                <w:i/>
                <w:iCs/>
                <w:color w:val="000000" w:themeColor="text1"/>
                <w:sz w:val="20"/>
                <w:szCs w:val="20"/>
              </w:rPr>
              <w:t xml:space="preserve">On the next </w:t>
            </w:r>
            <w:proofErr w:type="spellStart"/>
            <w:r w:rsidRPr="004537BE">
              <w:rPr>
                <w:rFonts w:cstheme="minorHAnsi"/>
                <w:bCs/>
                <w:i/>
                <w:iCs/>
                <w:color w:val="000000" w:themeColor="text1"/>
                <w:sz w:val="20"/>
                <w:szCs w:val="20"/>
              </w:rPr>
              <w:t>Ksh</w:t>
            </w:r>
            <w:proofErr w:type="spellEnd"/>
            <w:r w:rsidRPr="004537BE">
              <w:rPr>
                <w:rFonts w:cstheme="minorHAnsi"/>
                <w:bCs/>
                <w:i/>
                <w:iCs/>
                <w:color w:val="000000" w:themeColor="text1"/>
                <w:sz w:val="20"/>
                <w:szCs w:val="20"/>
              </w:rPr>
              <w:t>. 100,000                                25%</w:t>
            </w:r>
          </w:p>
          <w:p w14:paraId="078848E6" w14:textId="77777777" w:rsidR="006B7B8E" w:rsidRPr="004537BE" w:rsidRDefault="006B7B8E" w:rsidP="005C015F">
            <w:pPr>
              <w:rPr>
                <w:rFonts w:cstheme="minorHAnsi"/>
                <w:color w:val="000000" w:themeColor="text1"/>
                <w:sz w:val="20"/>
                <w:szCs w:val="20"/>
              </w:rPr>
            </w:pPr>
            <w:r w:rsidRPr="004537BE">
              <w:rPr>
                <w:rFonts w:cstheme="minorHAnsi"/>
                <w:bCs/>
                <w:i/>
                <w:iCs/>
                <w:color w:val="000000" w:themeColor="text1"/>
                <w:sz w:val="20"/>
                <w:szCs w:val="20"/>
              </w:rPr>
              <w:t xml:space="preserve">On the next </w:t>
            </w:r>
            <w:proofErr w:type="spellStart"/>
            <w:r w:rsidRPr="004537BE">
              <w:rPr>
                <w:rFonts w:cstheme="minorHAnsi"/>
                <w:bCs/>
                <w:i/>
                <w:iCs/>
                <w:color w:val="000000" w:themeColor="text1"/>
                <w:sz w:val="20"/>
                <w:szCs w:val="20"/>
              </w:rPr>
              <w:t>Ksh</w:t>
            </w:r>
            <w:proofErr w:type="spellEnd"/>
            <w:r w:rsidRPr="004537BE">
              <w:rPr>
                <w:rFonts w:cstheme="minorHAnsi"/>
                <w:bCs/>
                <w:i/>
                <w:iCs/>
                <w:color w:val="000000" w:themeColor="text1"/>
                <w:sz w:val="20"/>
                <w:szCs w:val="20"/>
              </w:rPr>
              <w:t>. 5,612,000                              30%</w:t>
            </w:r>
          </w:p>
        </w:tc>
        <w:tc>
          <w:tcPr>
            <w:tcW w:w="1343" w:type="pct"/>
          </w:tcPr>
          <w:p w14:paraId="1AFB4628" w14:textId="77777777" w:rsidR="007A3EC1" w:rsidRPr="004537BE" w:rsidRDefault="006B7B8E" w:rsidP="005C015F">
            <w:pPr>
              <w:pStyle w:val="ListParagraph"/>
              <w:numPr>
                <w:ilvl w:val="0"/>
                <w:numId w:val="20"/>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Employees and experts engaged at this level are reverting to consultancy engagements instead of direct employment further denying revenue to the exchequer since the two PAYE band of 32.5% &amp; 35% are above the corporate tax rate of 30%.</w:t>
            </w:r>
          </w:p>
          <w:p w14:paraId="3E0825BA" w14:textId="77777777" w:rsidR="007A3EC1" w:rsidRPr="004537BE" w:rsidRDefault="006B7B8E" w:rsidP="005C015F">
            <w:pPr>
              <w:pStyle w:val="ListParagraph"/>
              <w:numPr>
                <w:ilvl w:val="0"/>
                <w:numId w:val="20"/>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The upper earners in Kenya contribute significantly to employment creation through the numerous MSMEs owned by this </w:t>
            </w:r>
            <w:r w:rsidRPr="004537BE">
              <w:rPr>
                <w:rFonts w:asciiTheme="minorHAnsi" w:hAnsiTheme="minorHAnsi" w:cstheme="minorHAnsi"/>
                <w:color w:val="000000" w:themeColor="text1"/>
                <w:szCs w:val="20"/>
              </w:rPr>
              <w:lastRenderedPageBreak/>
              <w:t>category thus help to address the youth unemployment challenge. Increase in taxes would lead to collapse of these MSMEs financed model through salaries of high-income earners.</w:t>
            </w:r>
          </w:p>
          <w:p w14:paraId="7CAD934F" w14:textId="77777777" w:rsidR="007A3EC1" w:rsidRPr="004537BE" w:rsidRDefault="006B7B8E" w:rsidP="005C015F">
            <w:pPr>
              <w:pStyle w:val="ListParagraph"/>
              <w:numPr>
                <w:ilvl w:val="0"/>
                <w:numId w:val="20"/>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The net take home of employees has already been significantly reduced in the recent past due to the increases in the National Social Security Fund, introduction of the Affordable Housing levy as well as Social Health Insurance Levy.</w:t>
            </w:r>
          </w:p>
          <w:p w14:paraId="7E77138B" w14:textId="77777777" w:rsidR="007A3EC1" w:rsidRPr="004537BE" w:rsidRDefault="006B7B8E" w:rsidP="005C015F">
            <w:pPr>
              <w:pStyle w:val="ListParagraph"/>
              <w:numPr>
                <w:ilvl w:val="0"/>
                <w:numId w:val="20"/>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Further, the reduction in the net take home of this category of employees has significantly reduced their ability to service bank loans and hence increased NPLs.</w:t>
            </w:r>
          </w:p>
          <w:p w14:paraId="1D18B409" w14:textId="77777777" w:rsidR="007A3EC1" w:rsidRPr="004537BE" w:rsidRDefault="006B7B8E" w:rsidP="005C015F">
            <w:pPr>
              <w:pStyle w:val="ListParagraph"/>
              <w:numPr>
                <w:ilvl w:val="0"/>
                <w:numId w:val="20"/>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The spending by upper-income consumers creates local employment in Kenya through personal household services, school fees, entertainment among others that employ low-wage workers. Taxing top earners more has resulted in lower spending on these categories, and less local employment.</w:t>
            </w:r>
          </w:p>
          <w:p w14:paraId="7C4E9A26" w14:textId="77777777" w:rsidR="007A3EC1" w:rsidRPr="004537BE" w:rsidRDefault="006B7B8E" w:rsidP="005C015F">
            <w:pPr>
              <w:pStyle w:val="ListParagraph"/>
              <w:numPr>
                <w:ilvl w:val="0"/>
                <w:numId w:val="20"/>
              </w:numPr>
              <w:spacing w:after="0"/>
              <w:rPr>
                <w:rFonts w:asciiTheme="minorHAnsi" w:hAnsiTheme="minorHAnsi" w:cstheme="minorHAnsi"/>
                <w:color w:val="000000" w:themeColor="text1"/>
                <w:szCs w:val="20"/>
              </w:rPr>
            </w:pPr>
            <w:r w:rsidRPr="004537BE">
              <w:rPr>
                <w:rFonts w:asciiTheme="minorHAnsi" w:hAnsiTheme="minorHAnsi" w:cstheme="minorHAnsi"/>
                <w:bCs/>
                <w:color w:val="000000" w:themeColor="text1"/>
                <w:szCs w:val="20"/>
              </w:rPr>
              <w:t>Inequity and Public Backlash</w:t>
            </w:r>
            <w:r w:rsidR="007A3EC1" w:rsidRPr="004537BE">
              <w:rPr>
                <w:rFonts w:asciiTheme="minorHAnsi" w:hAnsiTheme="minorHAnsi" w:cstheme="minorHAnsi"/>
                <w:bCs/>
                <w:color w:val="000000" w:themeColor="text1"/>
                <w:szCs w:val="20"/>
              </w:rPr>
              <w:t xml:space="preserve"> </w:t>
            </w:r>
            <w:r w:rsidRPr="004537BE">
              <w:rPr>
                <w:rFonts w:asciiTheme="minorHAnsi" w:hAnsiTheme="minorHAnsi" w:cstheme="minorHAnsi"/>
                <w:bCs/>
                <w:color w:val="000000" w:themeColor="text1"/>
                <w:szCs w:val="20"/>
              </w:rPr>
              <w:t>Perception of Unfairness</w:t>
            </w:r>
            <w:r w:rsidRPr="004537BE">
              <w:rPr>
                <w:rFonts w:asciiTheme="minorHAnsi" w:hAnsiTheme="minorHAnsi" w:cstheme="minorHAnsi"/>
                <w:color w:val="000000" w:themeColor="text1"/>
                <w:szCs w:val="20"/>
              </w:rPr>
              <w:t xml:space="preserve">: Citizens have perceived high personal taxes as unfair, especially when </w:t>
            </w:r>
            <w:r w:rsidRPr="004537BE">
              <w:rPr>
                <w:rFonts w:asciiTheme="minorHAnsi" w:hAnsiTheme="minorHAnsi" w:cstheme="minorHAnsi"/>
                <w:color w:val="000000" w:themeColor="text1"/>
                <w:szCs w:val="20"/>
              </w:rPr>
              <w:lastRenderedPageBreak/>
              <w:t>corporations enjoy lower tax rates, has led general to dissatisfaction.</w:t>
            </w:r>
          </w:p>
          <w:p w14:paraId="3744432C" w14:textId="77777777" w:rsidR="007A3EC1" w:rsidRPr="004537BE" w:rsidRDefault="006B7B8E" w:rsidP="005C015F">
            <w:pPr>
              <w:pStyle w:val="ListParagraph"/>
              <w:numPr>
                <w:ilvl w:val="0"/>
                <w:numId w:val="20"/>
              </w:numPr>
              <w:spacing w:after="0"/>
              <w:rPr>
                <w:rFonts w:asciiTheme="minorHAnsi" w:hAnsiTheme="minorHAnsi" w:cstheme="minorHAnsi"/>
                <w:color w:val="000000" w:themeColor="text1"/>
                <w:szCs w:val="20"/>
              </w:rPr>
            </w:pPr>
            <w:r w:rsidRPr="004537BE">
              <w:rPr>
                <w:rFonts w:asciiTheme="minorHAnsi" w:hAnsiTheme="minorHAnsi" w:cstheme="minorHAnsi"/>
                <w:bCs/>
                <w:color w:val="000000" w:themeColor="text1"/>
                <w:szCs w:val="20"/>
              </w:rPr>
              <w:t>Tax Avoidance and Evasion</w:t>
            </w:r>
            <w:r w:rsidRPr="004537BE">
              <w:rPr>
                <w:rFonts w:asciiTheme="minorHAnsi" w:hAnsiTheme="minorHAnsi" w:cstheme="minorHAnsi"/>
                <w:color w:val="000000" w:themeColor="text1"/>
                <w:szCs w:val="20"/>
              </w:rPr>
              <w:t>: Further to this policy change, there is bound to be an increase of cases of Individuals seeking loopholes or resort to tax evasion strategies that may ultimately, undermine tax compliance and tax revenues.</w:t>
            </w:r>
          </w:p>
          <w:p w14:paraId="3A3A7773" w14:textId="77777777" w:rsidR="007A3EC1" w:rsidRPr="004537BE" w:rsidRDefault="006B7B8E" w:rsidP="005C015F">
            <w:pPr>
              <w:pStyle w:val="ListParagraph"/>
              <w:numPr>
                <w:ilvl w:val="0"/>
                <w:numId w:val="20"/>
              </w:numPr>
              <w:spacing w:after="0"/>
              <w:rPr>
                <w:rFonts w:asciiTheme="minorHAnsi" w:hAnsiTheme="minorHAnsi" w:cstheme="minorHAnsi"/>
                <w:color w:val="000000" w:themeColor="text1"/>
                <w:szCs w:val="20"/>
              </w:rPr>
            </w:pPr>
            <w:r w:rsidRPr="004537BE">
              <w:rPr>
                <w:rFonts w:asciiTheme="minorHAnsi" w:hAnsiTheme="minorHAnsi" w:cstheme="minorHAnsi"/>
                <w:bCs/>
                <w:color w:val="000000" w:themeColor="text1"/>
                <w:szCs w:val="20"/>
              </w:rPr>
              <w:t>Shift in Employment Preferences</w:t>
            </w:r>
            <w:r w:rsidRPr="004537BE">
              <w:rPr>
                <w:rFonts w:asciiTheme="minorHAnsi" w:hAnsiTheme="minorHAnsi" w:cstheme="minorHAnsi"/>
                <w:color w:val="000000" w:themeColor="text1"/>
                <w:szCs w:val="20"/>
              </w:rPr>
              <w:t>: High personal taxes may discourage formal employment and lead to a rise in informal or gig economy work, which often lacks benefits (medical and pension) and protections.</w:t>
            </w:r>
          </w:p>
          <w:p w14:paraId="2546D0C7" w14:textId="623CA313" w:rsidR="006B7B8E" w:rsidRPr="004537BE" w:rsidRDefault="006B7B8E" w:rsidP="005C015F">
            <w:pPr>
              <w:pStyle w:val="ListParagraph"/>
              <w:numPr>
                <w:ilvl w:val="0"/>
                <w:numId w:val="20"/>
              </w:numPr>
              <w:spacing w:after="0"/>
              <w:rPr>
                <w:rFonts w:asciiTheme="minorHAnsi" w:hAnsiTheme="minorHAnsi" w:cstheme="minorHAnsi"/>
                <w:color w:val="000000" w:themeColor="text1"/>
                <w:szCs w:val="20"/>
              </w:rPr>
            </w:pPr>
            <w:r w:rsidRPr="004537BE">
              <w:rPr>
                <w:rFonts w:asciiTheme="minorHAnsi" w:hAnsiTheme="minorHAnsi" w:cstheme="minorHAnsi"/>
                <w:bCs/>
                <w:color w:val="000000" w:themeColor="text1"/>
                <w:szCs w:val="20"/>
              </w:rPr>
              <w:t>Global Competitiveness</w:t>
            </w:r>
            <w:r w:rsidR="007A3EC1" w:rsidRPr="004537BE">
              <w:rPr>
                <w:rFonts w:asciiTheme="minorHAnsi" w:hAnsiTheme="minorHAnsi" w:cstheme="minorHAnsi"/>
                <w:bCs/>
                <w:color w:val="000000" w:themeColor="text1"/>
                <w:szCs w:val="20"/>
              </w:rPr>
              <w:t xml:space="preserve"> </w:t>
            </w:r>
            <w:r w:rsidRPr="004537BE">
              <w:rPr>
                <w:rFonts w:asciiTheme="minorHAnsi" w:hAnsiTheme="minorHAnsi" w:cstheme="minorHAnsi"/>
                <w:bCs/>
                <w:color w:val="000000" w:themeColor="text1"/>
                <w:szCs w:val="20"/>
              </w:rPr>
              <w:t>Attractiveness to Global Talent</w:t>
            </w:r>
            <w:r w:rsidRPr="004537BE">
              <w:rPr>
                <w:rFonts w:asciiTheme="minorHAnsi" w:hAnsiTheme="minorHAnsi" w:cstheme="minorHAnsi"/>
                <w:color w:val="000000" w:themeColor="text1"/>
                <w:szCs w:val="20"/>
              </w:rPr>
              <w:t>: High personal taxes make a country less attractive to international professionals, investors, and expatriates compared to nations with lower rates.</w:t>
            </w:r>
          </w:p>
        </w:tc>
      </w:tr>
      <w:tr w:rsidR="006B7B8E" w:rsidRPr="004537BE" w14:paraId="3339480D" w14:textId="77777777" w:rsidTr="005C015F">
        <w:tc>
          <w:tcPr>
            <w:tcW w:w="151" w:type="pct"/>
          </w:tcPr>
          <w:p w14:paraId="09526C67" w14:textId="77777777" w:rsidR="006B7B8E" w:rsidRPr="004537BE" w:rsidRDefault="006B7B8E" w:rsidP="005C015F">
            <w:pPr>
              <w:pStyle w:val="ListParagraph"/>
              <w:numPr>
                <w:ilvl w:val="0"/>
                <w:numId w:val="14"/>
              </w:numPr>
              <w:spacing w:after="0"/>
              <w:rPr>
                <w:rFonts w:asciiTheme="minorHAnsi" w:hAnsiTheme="minorHAnsi" w:cstheme="minorHAnsi"/>
                <w:color w:val="000000" w:themeColor="text1"/>
                <w:szCs w:val="20"/>
              </w:rPr>
            </w:pPr>
          </w:p>
        </w:tc>
        <w:tc>
          <w:tcPr>
            <w:tcW w:w="915" w:type="pct"/>
          </w:tcPr>
          <w:p w14:paraId="3A154E7C" w14:textId="77777777" w:rsidR="006B7B8E" w:rsidRPr="004537BE" w:rsidRDefault="006B7B8E" w:rsidP="007A3EC1">
            <w:pPr>
              <w:pStyle w:val="ListParagraph"/>
              <w:numPr>
                <w:ilvl w:val="0"/>
                <w:numId w:val="20"/>
              </w:numPr>
              <w:spacing w:after="0"/>
              <w:rPr>
                <w:rFonts w:asciiTheme="minorHAnsi" w:hAnsiTheme="minorHAnsi" w:cstheme="minorHAnsi"/>
                <w:bCs/>
                <w:color w:val="000000" w:themeColor="text1"/>
                <w:szCs w:val="20"/>
              </w:rPr>
            </w:pPr>
            <w:r w:rsidRPr="004537BE">
              <w:rPr>
                <w:rFonts w:asciiTheme="minorHAnsi" w:hAnsiTheme="minorHAnsi" w:cstheme="minorHAnsi"/>
                <w:color w:val="000000" w:themeColor="text1"/>
                <w:szCs w:val="20"/>
              </w:rPr>
              <w:t>New Provision for Inclusion to the Finance Bill 2025</w:t>
            </w:r>
          </w:p>
        </w:tc>
        <w:tc>
          <w:tcPr>
            <w:tcW w:w="1219" w:type="pct"/>
          </w:tcPr>
          <w:p w14:paraId="5E70C52F" w14:textId="77777777" w:rsidR="006B7B8E" w:rsidRPr="004537BE" w:rsidRDefault="006B7B8E" w:rsidP="007A3EC1">
            <w:pPr>
              <w:pStyle w:val="ListParagraph"/>
              <w:numPr>
                <w:ilvl w:val="0"/>
                <w:numId w:val="20"/>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Proposed amendment under the Second Schedule of the Income Tax Act. </w:t>
            </w:r>
          </w:p>
        </w:tc>
        <w:tc>
          <w:tcPr>
            <w:tcW w:w="1372" w:type="pct"/>
          </w:tcPr>
          <w:p w14:paraId="2749899F" w14:textId="77777777" w:rsidR="006B7B8E" w:rsidRPr="004537BE" w:rsidRDefault="006B7B8E" w:rsidP="007A3EC1">
            <w:pPr>
              <w:pStyle w:val="ListParagraph"/>
              <w:numPr>
                <w:ilvl w:val="0"/>
                <w:numId w:val="20"/>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Proposed amendment to Paragraph 1 of the Second Schedule to clarify the deduction of investment allowances for an industrial building and docks. The proposal reads as follows,  </w:t>
            </w:r>
          </w:p>
          <w:p w14:paraId="4B3161AB" w14:textId="77777777" w:rsidR="006B7B8E" w:rsidRPr="004537BE" w:rsidRDefault="006B7B8E" w:rsidP="005C015F">
            <w:pPr>
              <w:rPr>
                <w:rFonts w:cstheme="minorHAnsi"/>
                <w:color w:val="000000" w:themeColor="text1"/>
                <w:sz w:val="20"/>
                <w:szCs w:val="20"/>
              </w:rPr>
            </w:pPr>
          </w:p>
          <w:p w14:paraId="407CACD8" w14:textId="77777777" w:rsidR="006B7B8E" w:rsidRPr="004537BE" w:rsidRDefault="006B7B8E" w:rsidP="005C015F">
            <w:pPr>
              <w:pStyle w:val="ListParagraph"/>
              <w:numPr>
                <w:ilvl w:val="0"/>
                <w:numId w:val="4"/>
              </w:numPr>
              <w:spacing w:before="0"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Where a person incurs capital expenditure in respect of an item listed in the first column of the table, an investment allowance may be deducted in computing the gains or profits of that person at the corresponding rate specified in the second column, for each year of income–</w:t>
            </w:r>
          </w:p>
          <w:p w14:paraId="09FFBE80" w14:textId="77777777" w:rsidR="006B7B8E" w:rsidRPr="004537BE" w:rsidRDefault="006B7B8E" w:rsidP="005C015F">
            <w:pPr>
              <w:rPr>
                <w:rFonts w:cstheme="minorHAnsi"/>
                <w:color w:val="000000" w:themeColor="text1"/>
                <w:sz w:val="20"/>
                <w:szCs w:val="20"/>
              </w:rPr>
            </w:pPr>
          </w:p>
          <w:tbl>
            <w:tblPr>
              <w:tblW w:w="5000" w:type="pct"/>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2167"/>
            </w:tblGrid>
            <w:tr w:rsidR="006B7B8E" w:rsidRPr="004537BE" w14:paraId="5EB114B8" w14:textId="77777777" w:rsidTr="006B2350">
              <w:trPr>
                <w:trHeight w:val="174"/>
                <w:tblHeader/>
              </w:trPr>
              <w:tc>
                <w:tcPr>
                  <w:tcW w:w="1990" w:type="pct"/>
                  <w:tcBorders>
                    <w:top w:val="single" w:sz="6" w:space="0" w:color="DDDDDD"/>
                    <w:left w:val="single" w:sz="6" w:space="0" w:color="DDDDDD"/>
                    <w:bottom w:val="single" w:sz="2" w:space="0" w:color="auto"/>
                    <w:right w:val="single" w:sz="2" w:space="0" w:color="auto"/>
                  </w:tcBorders>
                  <w:shd w:val="clear" w:color="auto" w:fill="FFFFFF" w:themeFill="background1"/>
                  <w:tcMar>
                    <w:top w:w="75" w:type="dxa"/>
                    <w:left w:w="75" w:type="dxa"/>
                    <w:bottom w:w="75" w:type="dxa"/>
                    <w:right w:w="75" w:type="dxa"/>
                  </w:tcMar>
                  <w:hideMark/>
                </w:tcPr>
                <w:p w14:paraId="333BFAC9" w14:textId="77777777" w:rsidR="006B7B8E" w:rsidRPr="004537BE" w:rsidRDefault="006B7B8E" w:rsidP="005C015F">
                  <w:pPr>
                    <w:rPr>
                      <w:rFonts w:eastAsia="Times New Roman" w:cstheme="minorHAnsi"/>
                      <w:bCs/>
                      <w:color w:val="000000" w:themeColor="text1"/>
                      <w:sz w:val="20"/>
                      <w:szCs w:val="20"/>
                    </w:rPr>
                  </w:pPr>
                  <w:r w:rsidRPr="004537BE">
                    <w:rPr>
                      <w:rFonts w:eastAsia="Times New Roman" w:cstheme="minorHAnsi"/>
                      <w:bCs/>
                      <w:color w:val="000000" w:themeColor="text1"/>
                      <w:sz w:val="20"/>
                      <w:szCs w:val="20"/>
                    </w:rPr>
                    <w:t>Capital expenditure incurred</w:t>
                  </w:r>
                </w:p>
              </w:tc>
              <w:tc>
                <w:tcPr>
                  <w:tcW w:w="3010" w:type="pct"/>
                  <w:tcBorders>
                    <w:top w:val="single" w:sz="6" w:space="0" w:color="DDDDDD"/>
                    <w:left w:val="single" w:sz="6" w:space="0" w:color="DDDDDD"/>
                    <w:bottom w:val="single" w:sz="2" w:space="0" w:color="auto"/>
                    <w:right w:val="single" w:sz="2" w:space="0" w:color="auto"/>
                  </w:tcBorders>
                  <w:shd w:val="clear" w:color="auto" w:fill="FFFFFF" w:themeFill="background1"/>
                  <w:tcMar>
                    <w:top w:w="75" w:type="dxa"/>
                    <w:left w:w="75" w:type="dxa"/>
                    <w:bottom w:w="75" w:type="dxa"/>
                    <w:right w:w="75" w:type="dxa"/>
                  </w:tcMar>
                  <w:hideMark/>
                </w:tcPr>
                <w:p w14:paraId="1F10B309" w14:textId="77777777" w:rsidR="006B7B8E" w:rsidRPr="004537BE" w:rsidRDefault="006B7B8E" w:rsidP="005C015F">
                  <w:pPr>
                    <w:rPr>
                      <w:rFonts w:eastAsia="Times New Roman" w:cstheme="minorHAnsi"/>
                      <w:bCs/>
                      <w:color w:val="000000" w:themeColor="text1"/>
                      <w:sz w:val="20"/>
                      <w:szCs w:val="20"/>
                    </w:rPr>
                  </w:pPr>
                  <w:r w:rsidRPr="004537BE">
                    <w:rPr>
                      <w:rFonts w:eastAsia="Times New Roman" w:cstheme="minorHAnsi"/>
                      <w:bCs/>
                      <w:color w:val="000000" w:themeColor="text1"/>
                      <w:sz w:val="20"/>
                      <w:szCs w:val="20"/>
                    </w:rPr>
                    <w:t>Rate of Investment Allowance</w:t>
                  </w:r>
                </w:p>
              </w:tc>
            </w:tr>
            <w:tr w:rsidR="006B7B8E" w:rsidRPr="004537BE" w14:paraId="6C5CE8F7" w14:textId="77777777" w:rsidTr="006B2350">
              <w:trPr>
                <w:trHeight w:val="174"/>
              </w:trPr>
              <w:tc>
                <w:tcPr>
                  <w:tcW w:w="1990" w:type="pct"/>
                  <w:tcBorders>
                    <w:top w:val="single" w:sz="6" w:space="0" w:color="DDDDDD"/>
                    <w:left w:val="single" w:sz="6" w:space="0" w:color="DDDDDD"/>
                    <w:bottom w:val="single" w:sz="2" w:space="0" w:color="auto"/>
                    <w:right w:val="single" w:sz="2" w:space="0" w:color="auto"/>
                  </w:tcBorders>
                  <w:shd w:val="clear" w:color="auto" w:fill="FFFFFF" w:themeFill="background1"/>
                  <w:tcMar>
                    <w:top w:w="75" w:type="dxa"/>
                    <w:left w:w="75" w:type="dxa"/>
                    <w:bottom w:w="75" w:type="dxa"/>
                    <w:right w:w="75" w:type="dxa"/>
                  </w:tcMar>
                  <w:hideMark/>
                </w:tcPr>
                <w:p w14:paraId="4A74B661" w14:textId="77777777" w:rsidR="006B7B8E" w:rsidRPr="004537BE" w:rsidRDefault="006B7B8E" w:rsidP="005C015F">
                  <w:pPr>
                    <w:rPr>
                      <w:rFonts w:eastAsia="Times New Roman" w:cstheme="minorHAnsi"/>
                      <w:color w:val="000000" w:themeColor="text1"/>
                      <w:sz w:val="20"/>
                      <w:szCs w:val="20"/>
                    </w:rPr>
                  </w:pPr>
                  <w:r w:rsidRPr="004537BE">
                    <w:rPr>
                      <w:rFonts w:eastAsia="Times New Roman" w:cstheme="minorHAnsi"/>
                      <w:color w:val="000000" w:themeColor="text1"/>
                      <w:sz w:val="20"/>
                      <w:szCs w:val="20"/>
                    </w:rPr>
                    <w:t>(a) Buildings</w:t>
                  </w:r>
                </w:p>
              </w:tc>
              <w:tc>
                <w:tcPr>
                  <w:tcW w:w="3010" w:type="pct"/>
                  <w:tcBorders>
                    <w:top w:val="single" w:sz="6" w:space="0" w:color="DDDDDD"/>
                    <w:left w:val="single" w:sz="6" w:space="0" w:color="DDDDDD"/>
                    <w:bottom w:val="single" w:sz="2" w:space="0" w:color="auto"/>
                    <w:right w:val="single" w:sz="2" w:space="0" w:color="auto"/>
                  </w:tcBorders>
                  <w:shd w:val="clear" w:color="auto" w:fill="FFFFFF" w:themeFill="background1"/>
                  <w:tcMar>
                    <w:top w:w="75" w:type="dxa"/>
                    <w:left w:w="75" w:type="dxa"/>
                    <w:bottom w:w="75" w:type="dxa"/>
                    <w:right w:w="75" w:type="dxa"/>
                  </w:tcMar>
                  <w:hideMark/>
                </w:tcPr>
                <w:p w14:paraId="7A85716A" w14:textId="77777777" w:rsidR="006B7B8E" w:rsidRPr="004537BE" w:rsidRDefault="006B7B8E" w:rsidP="005C015F">
                  <w:pPr>
                    <w:rPr>
                      <w:rFonts w:eastAsia="Times New Roman" w:cstheme="minorHAnsi"/>
                      <w:color w:val="000000" w:themeColor="text1"/>
                      <w:sz w:val="20"/>
                      <w:szCs w:val="20"/>
                    </w:rPr>
                  </w:pPr>
                </w:p>
              </w:tc>
            </w:tr>
            <w:tr w:rsidR="006B7B8E" w:rsidRPr="004537BE" w14:paraId="6FBB31AA" w14:textId="77777777" w:rsidTr="006B2350">
              <w:trPr>
                <w:trHeight w:val="174"/>
              </w:trPr>
              <w:tc>
                <w:tcPr>
                  <w:tcW w:w="1990" w:type="pct"/>
                  <w:tcBorders>
                    <w:top w:val="single" w:sz="6" w:space="0" w:color="DDDDDD"/>
                    <w:left w:val="single" w:sz="6" w:space="0" w:color="DDDDDD"/>
                    <w:bottom w:val="single" w:sz="2" w:space="0" w:color="auto"/>
                    <w:right w:val="single" w:sz="2" w:space="0" w:color="auto"/>
                  </w:tcBorders>
                  <w:shd w:val="clear" w:color="auto" w:fill="FFFFFF" w:themeFill="background1"/>
                  <w:tcMar>
                    <w:top w:w="75" w:type="dxa"/>
                    <w:left w:w="75" w:type="dxa"/>
                    <w:bottom w:w="75" w:type="dxa"/>
                    <w:right w:w="75" w:type="dxa"/>
                  </w:tcMar>
                  <w:hideMark/>
                </w:tcPr>
                <w:p w14:paraId="43623681" w14:textId="77777777" w:rsidR="006B7B8E" w:rsidRPr="004537BE" w:rsidRDefault="006B7B8E" w:rsidP="005C015F">
                  <w:pPr>
                    <w:rPr>
                      <w:rFonts w:eastAsia="Times New Roman" w:cstheme="minorHAnsi"/>
                      <w:color w:val="000000" w:themeColor="text1"/>
                      <w:sz w:val="20"/>
                      <w:szCs w:val="20"/>
                    </w:rPr>
                  </w:pPr>
                  <w:r w:rsidRPr="004537BE">
                    <w:rPr>
                      <w:rFonts w:eastAsia="Times New Roman" w:cstheme="minorHAnsi"/>
                      <w:color w:val="000000" w:themeColor="text1"/>
                      <w:sz w:val="20"/>
                      <w:szCs w:val="20"/>
                    </w:rPr>
                    <w:t>(viii) Industrial Building</w:t>
                  </w:r>
                </w:p>
              </w:tc>
              <w:tc>
                <w:tcPr>
                  <w:tcW w:w="3010" w:type="pct"/>
                  <w:tcBorders>
                    <w:top w:val="single" w:sz="6" w:space="0" w:color="DDDDDD"/>
                    <w:left w:val="single" w:sz="6" w:space="0" w:color="DDDDDD"/>
                    <w:bottom w:val="single" w:sz="2" w:space="0" w:color="auto"/>
                    <w:right w:val="single" w:sz="2" w:space="0" w:color="auto"/>
                  </w:tcBorders>
                  <w:shd w:val="clear" w:color="auto" w:fill="FFFFFF" w:themeFill="background1"/>
                  <w:tcMar>
                    <w:top w:w="75" w:type="dxa"/>
                    <w:left w:w="75" w:type="dxa"/>
                    <w:bottom w:w="75" w:type="dxa"/>
                    <w:right w:w="75" w:type="dxa"/>
                  </w:tcMar>
                  <w:hideMark/>
                </w:tcPr>
                <w:p w14:paraId="29D1C68F" w14:textId="77777777" w:rsidR="006B7B8E" w:rsidRPr="004537BE" w:rsidRDefault="006B7B8E" w:rsidP="005C015F">
                  <w:pPr>
                    <w:rPr>
                      <w:rFonts w:eastAsia="Times New Roman" w:cstheme="minorHAnsi"/>
                      <w:color w:val="000000" w:themeColor="text1"/>
                      <w:sz w:val="20"/>
                      <w:szCs w:val="20"/>
                    </w:rPr>
                  </w:pPr>
                  <w:r w:rsidRPr="004537BE">
                    <w:rPr>
                      <w:rFonts w:eastAsia="Times New Roman" w:cstheme="minorHAnsi"/>
                      <w:color w:val="000000" w:themeColor="text1"/>
                      <w:sz w:val="20"/>
                      <w:szCs w:val="20"/>
                    </w:rPr>
                    <w:t>10% per year, in equal instalments</w:t>
                  </w:r>
                </w:p>
              </w:tc>
            </w:tr>
            <w:tr w:rsidR="006B7B8E" w:rsidRPr="004537BE" w14:paraId="5EF6BD56" w14:textId="77777777" w:rsidTr="006B2350">
              <w:trPr>
                <w:trHeight w:val="182"/>
              </w:trPr>
              <w:tc>
                <w:tcPr>
                  <w:tcW w:w="1990" w:type="pct"/>
                  <w:tcBorders>
                    <w:top w:val="single" w:sz="6" w:space="0" w:color="DDDDDD"/>
                    <w:left w:val="single" w:sz="6" w:space="0" w:color="DDDDDD"/>
                    <w:bottom w:val="single" w:sz="2" w:space="0" w:color="auto"/>
                    <w:right w:val="single" w:sz="2" w:space="0" w:color="auto"/>
                  </w:tcBorders>
                  <w:shd w:val="clear" w:color="auto" w:fill="FFFFFF" w:themeFill="background1"/>
                  <w:tcMar>
                    <w:top w:w="75" w:type="dxa"/>
                    <w:left w:w="75" w:type="dxa"/>
                    <w:bottom w:w="75" w:type="dxa"/>
                    <w:right w:w="75" w:type="dxa"/>
                  </w:tcMar>
                  <w:hideMark/>
                </w:tcPr>
                <w:p w14:paraId="7B6D3F2A" w14:textId="77777777" w:rsidR="006B7B8E" w:rsidRPr="004537BE" w:rsidRDefault="006B7B8E" w:rsidP="005C015F">
                  <w:pPr>
                    <w:rPr>
                      <w:rFonts w:eastAsia="Times New Roman" w:cstheme="minorHAnsi"/>
                      <w:color w:val="000000" w:themeColor="text1"/>
                      <w:sz w:val="20"/>
                      <w:szCs w:val="20"/>
                    </w:rPr>
                  </w:pPr>
                  <w:r w:rsidRPr="004537BE">
                    <w:rPr>
                      <w:rFonts w:eastAsia="Times New Roman" w:cstheme="minorHAnsi"/>
                      <w:color w:val="000000" w:themeColor="text1"/>
                      <w:sz w:val="20"/>
                      <w:szCs w:val="20"/>
                    </w:rPr>
                    <w:t>(ix) Dock</w:t>
                  </w:r>
                </w:p>
              </w:tc>
              <w:tc>
                <w:tcPr>
                  <w:tcW w:w="3010" w:type="pct"/>
                  <w:tcBorders>
                    <w:top w:val="single" w:sz="6" w:space="0" w:color="DDDDDD"/>
                    <w:left w:val="single" w:sz="6" w:space="0" w:color="DDDDDD"/>
                    <w:bottom w:val="single" w:sz="2" w:space="0" w:color="auto"/>
                    <w:right w:val="single" w:sz="2" w:space="0" w:color="auto"/>
                  </w:tcBorders>
                  <w:shd w:val="clear" w:color="auto" w:fill="FFFFFF" w:themeFill="background1"/>
                  <w:tcMar>
                    <w:top w:w="75" w:type="dxa"/>
                    <w:left w:w="75" w:type="dxa"/>
                    <w:bottom w:w="75" w:type="dxa"/>
                    <w:right w:w="75" w:type="dxa"/>
                  </w:tcMar>
                  <w:hideMark/>
                </w:tcPr>
                <w:p w14:paraId="291D2A91" w14:textId="77777777" w:rsidR="006B7B8E" w:rsidRPr="004537BE" w:rsidRDefault="006B7B8E" w:rsidP="005C015F">
                  <w:pPr>
                    <w:rPr>
                      <w:rFonts w:eastAsia="Times New Roman" w:cstheme="minorHAnsi"/>
                      <w:color w:val="000000" w:themeColor="text1"/>
                      <w:sz w:val="20"/>
                      <w:szCs w:val="20"/>
                    </w:rPr>
                  </w:pPr>
                  <w:r w:rsidRPr="004537BE">
                    <w:rPr>
                      <w:rFonts w:eastAsia="Times New Roman" w:cstheme="minorHAnsi"/>
                      <w:color w:val="000000" w:themeColor="text1"/>
                      <w:sz w:val="20"/>
                      <w:szCs w:val="20"/>
                    </w:rPr>
                    <w:t>10% per year in equal instalments</w:t>
                  </w:r>
                </w:p>
              </w:tc>
            </w:tr>
          </w:tbl>
          <w:p w14:paraId="3ACA8314" w14:textId="77777777" w:rsidR="006B7B8E" w:rsidRPr="004537BE" w:rsidRDefault="006B7B8E" w:rsidP="005C015F">
            <w:pPr>
              <w:rPr>
                <w:rFonts w:cstheme="minorHAnsi"/>
                <w:color w:val="000000" w:themeColor="text1"/>
                <w:sz w:val="20"/>
                <w:szCs w:val="20"/>
              </w:rPr>
            </w:pPr>
          </w:p>
        </w:tc>
        <w:tc>
          <w:tcPr>
            <w:tcW w:w="1343" w:type="pct"/>
          </w:tcPr>
          <w:p w14:paraId="06137341" w14:textId="70F6FEA7" w:rsidR="006B7B8E" w:rsidRPr="004537BE" w:rsidRDefault="006B7B8E" w:rsidP="007A3EC1">
            <w:pPr>
              <w:pStyle w:val="ListParagraph"/>
              <w:numPr>
                <w:ilvl w:val="0"/>
                <w:numId w:val="21"/>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 xml:space="preserve">The proposal will ensure administrative clean </w:t>
            </w:r>
            <w:r w:rsidR="007A3EC1" w:rsidRPr="004537BE">
              <w:rPr>
                <w:rFonts w:asciiTheme="minorHAnsi" w:hAnsiTheme="minorHAnsi" w:cstheme="minorHAnsi"/>
                <w:color w:val="000000" w:themeColor="text1"/>
                <w:szCs w:val="20"/>
              </w:rPr>
              <w:t>up to</w:t>
            </w:r>
            <w:r w:rsidRPr="004537BE">
              <w:rPr>
                <w:rFonts w:asciiTheme="minorHAnsi" w:hAnsiTheme="minorHAnsi" w:cstheme="minorHAnsi"/>
                <w:color w:val="000000" w:themeColor="text1"/>
                <w:szCs w:val="20"/>
              </w:rPr>
              <w:t xml:space="preserve"> ensure it is </w:t>
            </w:r>
            <w:proofErr w:type="gramStart"/>
            <w:r w:rsidRPr="004537BE">
              <w:rPr>
                <w:rFonts w:asciiTheme="minorHAnsi" w:hAnsiTheme="minorHAnsi" w:cstheme="minorHAnsi"/>
                <w:color w:val="000000" w:themeColor="text1"/>
                <w:szCs w:val="20"/>
              </w:rPr>
              <w:t>clarity  of</w:t>
            </w:r>
            <w:proofErr w:type="gramEnd"/>
            <w:r w:rsidRPr="004537BE">
              <w:rPr>
                <w:rFonts w:asciiTheme="minorHAnsi" w:hAnsiTheme="minorHAnsi" w:cstheme="minorHAnsi"/>
                <w:color w:val="000000" w:themeColor="text1"/>
                <w:szCs w:val="20"/>
              </w:rPr>
              <w:t xml:space="preserve"> how the allowances for industrial building and docks are to be claimed.</w:t>
            </w:r>
          </w:p>
        </w:tc>
      </w:tr>
      <w:tr w:rsidR="006B7B8E" w:rsidRPr="004537BE" w14:paraId="45A4CA02" w14:textId="77777777" w:rsidTr="005C015F">
        <w:tc>
          <w:tcPr>
            <w:tcW w:w="151" w:type="pct"/>
          </w:tcPr>
          <w:p w14:paraId="378DE07B" w14:textId="77777777" w:rsidR="006B7B8E" w:rsidRPr="004537BE" w:rsidRDefault="006B7B8E" w:rsidP="005C015F">
            <w:pPr>
              <w:pStyle w:val="ListParagraph"/>
              <w:numPr>
                <w:ilvl w:val="0"/>
                <w:numId w:val="14"/>
              </w:numPr>
              <w:spacing w:after="0"/>
              <w:rPr>
                <w:rFonts w:asciiTheme="minorHAnsi" w:hAnsiTheme="minorHAnsi" w:cstheme="minorHAnsi"/>
                <w:color w:val="000000" w:themeColor="text1"/>
                <w:szCs w:val="20"/>
              </w:rPr>
            </w:pPr>
          </w:p>
        </w:tc>
        <w:tc>
          <w:tcPr>
            <w:tcW w:w="915" w:type="pct"/>
          </w:tcPr>
          <w:p w14:paraId="58E9ACA4" w14:textId="77777777" w:rsidR="006B7B8E" w:rsidRPr="004537BE" w:rsidRDefault="006B7B8E" w:rsidP="007A3EC1">
            <w:pPr>
              <w:pStyle w:val="ListParagraph"/>
              <w:numPr>
                <w:ilvl w:val="0"/>
                <w:numId w:val="21"/>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New Provision for Inclusion to the Finance Bill 2025.</w:t>
            </w:r>
          </w:p>
        </w:tc>
        <w:tc>
          <w:tcPr>
            <w:tcW w:w="1219" w:type="pct"/>
          </w:tcPr>
          <w:p w14:paraId="1791073E" w14:textId="77777777" w:rsidR="006B7B8E" w:rsidRPr="004537BE" w:rsidRDefault="006B7B8E" w:rsidP="007A3EC1">
            <w:pPr>
              <w:pStyle w:val="ListParagraph"/>
              <w:numPr>
                <w:ilvl w:val="0"/>
                <w:numId w:val="21"/>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Proposed amendment under paragraph 13 of the Eighth Schedule of the Income Tax Act by adding a new paragraph d, </w:t>
            </w:r>
          </w:p>
        </w:tc>
        <w:tc>
          <w:tcPr>
            <w:tcW w:w="1372" w:type="pct"/>
          </w:tcPr>
          <w:p w14:paraId="31CF8C13" w14:textId="77777777" w:rsidR="006B7B8E" w:rsidRPr="004537BE" w:rsidRDefault="006B7B8E" w:rsidP="007A3EC1">
            <w:pPr>
              <w:pStyle w:val="ListParagraph"/>
              <w:numPr>
                <w:ilvl w:val="0"/>
                <w:numId w:val="21"/>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Amendment to Paragraph 13 of the Eighth Schedule of the Income Tax Act by adding a new paragraph d, to read as follows:</w:t>
            </w:r>
          </w:p>
          <w:p w14:paraId="023D7160" w14:textId="77777777" w:rsidR="006B7B8E" w:rsidRPr="004537BE" w:rsidRDefault="006B7B8E" w:rsidP="005C015F">
            <w:pPr>
              <w:rPr>
                <w:rFonts w:cstheme="minorHAnsi"/>
                <w:color w:val="000000" w:themeColor="text1"/>
                <w:sz w:val="20"/>
                <w:szCs w:val="20"/>
              </w:rPr>
            </w:pPr>
          </w:p>
          <w:p w14:paraId="0A331365" w14:textId="77777777" w:rsidR="006B7B8E" w:rsidRPr="004537BE" w:rsidRDefault="006B7B8E" w:rsidP="005C015F">
            <w:pPr>
              <w:rPr>
                <w:rFonts w:cstheme="minorHAnsi"/>
                <w:i/>
                <w:color w:val="000000" w:themeColor="text1"/>
                <w:sz w:val="20"/>
                <w:szCs w:val="20"/>
              </w:rPr>
            </w:pPr>
            <w:r w:rsidRPr="004537BE">
              <w:rPr>
                <w:rFonts w:cstheme="minorHAnsi"/>
                <w:color w:val="000000" w:themeColor="text1"/>
                <w:sz w:val="20"/>
                <w:szCs w:val="20"/>
              </w:rPr>
              <w:t>‘</w:t>
            </w:r>
            <w:r w:rsidRPr="004537BE">
              <w:rPr>
                <w:rFonts w:cstheme="minorHAnsi"/>
                <w:i/>
                <w:color w:val="000000" w:themeColor="text1"/>
                <w:sz w:val="20"/>
                <w:szCs w:val="20"/>
              </w:rPr>
              <w:t xml:space="preserve">13. No gain or loss shall be included in the computation of income under section 3 (2) (f) in the case of a transfer of property that is necessitated by a transaction involving the incorporation, recapitalization, acquisition, amalgamation, separation, dissolution or </w:t>
            </w:r>
            <w:r w:rsidRPr="004537BE">
              <w:rPr>
                <w:rFonts w:cstheme="minorHAnsi"/>
                <w:i/>
                <w:color w:val="000000" w:themeColor="text1"/>
                <w:sz w:val="20"/>
                <w:szCs w:val="20"/>
              </w:rPr>
              <w:lastRenderedPageBreak/>
              <w:t>similar restructuring of a corporate entity, where such transfer is —</w:t>
            </w:r>
          </w:p>
          <w:p w14:paraId="647BC0EA" w14:textId="77777777" w:rsidR="006B7B8E" w:rsidRPr="004537BE" w:rsidRDefault="006B7B8E" w:rsidP="005C015F">
            <w:pPr>
              <w:rPr>
                <w:rFonts w:cstheme="minorHAnsi"/>
                <w:i/>
                <w:color w:val="000000" w:themeColor="text1"/>
                <w:sz w:val="20"/>
                <w:szCs w:val="20"/>
              </w:rPr>
            </w:pPr>
          </w:p>
          <w:p w14:paraId="7AA4BCD1" w14:textId="77777777" w:rsidR="006B7B8E" w:rsidRPr="004537BE" w:rsidRDefault="006B7B8E" w:rsidP="005C015F">
            <w:pPr>
              <w:rPr>
                <w:rFonts w:cstheme="minorHAnsi"/>
                <w:i/>
                <w:color w:val="000000" w:themeColor="text1"/>
                <w:sz w:val="20"/>
                <w:szCs w:val="20"/>
              </w:rPr>
            </w:pPr>
            <w:r w:rsidRPr="004537BE">
              <w:rPr>
                <w:rFonts w:cstheme="minorHAnsi"/>
                <w:i/>
                <w:color w:val="000000" w:themeColor="text1"/>
                <w:sz w:val="20"/>
                <w:szCs w:val="20"/>
              </w:rPr>
              <w:t>d. the transfer of shares from an offshore jurisdiction and registration of such shares in Kenya</w:t>
            </w:r>
            <w:r w:rsidRPr="004537BE">
              <w:rPr>
                <w:rFonts w:cstheme="minorHAnsi"/>
                <w:color w:val="000000" w:themeColor="text1"/>
                <w:sz w:val="20"/>
                <w:szCs w:val="20"/>
              </w:rPr>
              <w:t>.</w:t>
            </w:r>
          </w:p>
          <w:p w14:paraId="1CEC9D75" w14:textId="77777777" w:rsidR="006B7B8E" w:rsidRPr="004537BE" w:rsidRDefault="006B7B8E" w:rsidP="005C015F">
            <w:pPr>
              <w:rPr>
                <w:rFonts w:cstheme="minorHAnsi"/>
                <w:i/>
                <w:color w:val="000000" w:themeColor="text1"/>
                <w:sz w:val="20"/>
                <w:szCs w:val="20"/>
              </w:rPr>
            </w:pPr>
            <w:r w:rsidRPr="004537BE">
              <w:rPr>
                <w:rFonts w:cstheme="minorHAnsi"/>
                <w:i/>
                <w:color w:val="000000" w:themeColor="text1"/>
                <w:sz w:val="20"/>
                <w:szCs w:val="20"/>
              </w:rPr>
              <w:t>Provided that this paragraph shall be valid until 30 June 2027.</w:t>
            </w:r>
          </w:p>
          <w:p w14:paraId="3C614AF9" w14:textId="77777777" w:rsidR="006B7B8E" w:rsidRPr="004537BE" w:rsidRDefault="006B7B8E" w:rsidP="005C015F">
            <w:pPr>
              <w:rPr>
                <w:rFonts w:cstheme="minorHAnsi"/>
                <w:color w:val="000000" w:themeColor="text1"/>
                <w:sz w:val="20"/>
                <w:szCs w:val="20"/>
              </w:rPr>
            </w:pPr>
          </w:p>
        </w:tc>
        <w:tc>
          <w:tcPr>
            <w:tcW w:w="1343" w:type="pct"/>
          </w:tcPr>
          <w:p w14:paraId="6A3846F6" w14:textId="77777777" w:rsidR="007A3EC1" w:rsidRPr="004537BE" w:rsidRDefault="006B7B8E" w:rsidP="005C015F">
            <w:pPr>
              <w:pStyle w:val="ListParagraph"/>
              <w:numPr>
                <w:ilvl w:val="0"/>
                <w:numId w:val="22"/>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 xml:space="preserve">Owing to the introduction of taxation on indirect disposals, it has become expensive to redomicile investment shares in Kenya unless in the context of an internal restructuring.  </w:t>
            </w:r>
          </w:p>
          <w:p w14:paraId="28B1BCCD" w14:textId="52F05D4D" w:rsidR="006B7B8E" w:rsidRPr="004537BE" w:rsidRDefault="006B7B8E" w:rsidP="005C015F">
            <w:pPr>
              <w:pStyle w:val="ListParagraph"/>
              <w:numPr>
                <w:ilvl w:val="0"/>
                <w:numId w:val="22"/>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Through the proposed amendment, we propose a period of two years (up to 30 June 2027) to allow for persons to transfer shares/property in Kenya without the burden of capital gains tax.</w:t>
            </w:r>
          </w:p>
        </w:tc>
      </w:tr>
      <w:tr w:rsidR="006B7B8E" w:rsidRPr="004537BE" w14:paraId="4C1A3DA0" w14:textId="77777777" w:rsidTr="005C015F">
        <w:tc>
          <w:tcPr>
            <w:tcW w:w="151" w:type="pct"/>
          </w:tcPr>
          <w:p w14:paraId="5DE677C8" w14:textId="77777777" w:rsidR="006B7B8E" w:rsidRPr="004537BE" w:rsidRDefault="006B7B8E" w:rsidP="005C015F">
            <w:pPr>
              <w:pStyle w:val="ListParagraph"/>
              <w:numPr>
                <w:ilvl w:val="0"/>
                <w:numId w:val="14"/>
              </w:numPr>
              <w:spacing w:after="0"/>
              <w:rPr>
                <w:rFonts w:asciiTheme="minorHAnsi" w:hAnsiTheme="minorHAnsi" w:cstheme="minorHAnsi"/>
                <w:color w:val="000000" w:themeColor="text1"/>
                <w:szCs w:val="20"/>
              </w:rPr>
            </w:pPr>
          </w:p>
        </w:tc>
        <w:tc>
          <w:tcPr>
            <w:tcW w:w="915" w:type="pct"/>
          </w:tcPr>
          <w:p w14:paraId="6D8E1150" w14:textId="77777777" w:rsidR="006B7B8E" w:rsidRPr="004537BE" w:rsidRDefault="006B7B8E" w:rsidP="007A3EC1">
            <w:pPr>
              <w:pStyle w:val="ListParagraph"/>
              <w:numPr>
                <w:ilvl w:val="0"/>
                <w:numId w:val="22"/>
              </w:numPr>
              <w:spacing w:after="0"/>
              <w:rPr>
                <w:rFonts w:asciiTheme="minorHAnsi" w:eastAsia="Calibri" w:hAnsiTheme="minorHAnsi" w:cstheme="minorHAnsi"/>
                <w:color w:val="000000" w:themeColor="text1"/>
                <w:szCs w:val="20"/>
              </w:rPr>
            </w:pPr>
            <w:r w:rsidRPr="004537BE">
              <w:rPr>
                <w:rFonts w:asciiTheme="minorHAnsi" w:hAnsiTheme="minorHAnsi" w:cstheme="minorHAnsi"/>
                <w:color w:val="000000" w:themeColor="text1"/>
                <w:szCs w:val="20"/>
              </w:rPr>
              <w:t>New Provision for Inclusion to the Finance Bill 2025.</w:t>
            </w:r>
          </w:p>
          <w:p w14:paraId="7E3B2C36" w14:textId="6D0F67EA" w:rsidR="006B7B8E" w:rsidRPr="004537BE" w:rsidRDefault="006B7B8E" w:rsidP="005C015F">
            <w:pPr>
              <w:rPr>
                <w:rFonts w:eastAsia="Calibri" w:cstheme="minorHAnsi"/>
                <w:color w:val="000000" w:themeColor="text1"/>
                <w:sz w:val="20"/>
                <w:szCs w:val="20"/>
              </w:rPr>
            </w:pPr>
            <w:r w:rsidRPr="004537BE">
              <w:rPr>
                <w:rFonts w:eastAsia="Calibri" w:cstheme="minorHAnsi"/>
                <w:color w:val="000000" w:themeColor="text1"/>
                <w:sz w:val="20"/>
                <w:szCs w:val="20"/>
              </w:rPr>
              <w:br/>
            </w:r>
            <w:r w:rsidRPr="004537BE">
              <w:rPr>
                <w:rFonts w:eastAsia="Calibri" w:cstheme="minorHAnsi"/>
                <w:color w:val="000000" w:themeColor="text1"/>
                <w:sz w:val="20"/>
                <w:szCs w:val="20"/>
              </w:rPr>
              <w:br/>
            </w:r>
            <w:r w:rsidRPr="004537BE">
              <w:rPr>
                <w:rFonts w:eastAsia="Calibri" w:cstheme="minorHAnsi"/>
                <w:color w:val="000000" w:themeColor="text1"/>
                <w:sz w:val="20"/>
                <w:szCs w:val="20"/>
              </w:rPr>
              <w:br/>
            </w:r>
            <w:r w:rsidRPr="004537BE">
              <w:rPr>
                <w:rFonts w:eastAsia="Calibri" w:cstheme="minorHAnsi"/>
                <w:color w:val="000000" w:themeColor="text1"/>
                <w:sz w:val="20"/>
                <w:szCs w:val="20"/>
              </w:rPr>
              <w:br/>
            </w:r>
          </w:p>
          <w:p w14:paraId="3F1C0116" w14:textId="77777777" w:rsidR="006B7B8E" w:rsidRPr="004537BE" w:rsidRDefault="006B7B8E" w:rsidP="005C015F">
            <w:pPr>
              <w:rPr>
                <w:rFonts w:eastAsia="Calibri" w:cstheme="minorHAnsi"/>
                <w:color w:val="000000" w:themeColor="text1"/>
                <w:sz w:val="20"/>
                <w:szCs w:val="20"/>
              </w:rPr>
            </w:pPr>
          </w:p>
        </w:tc>
        <w:tc>
          <w:tcPr>
            <w:tcW w:w="1219" w:type="pct"/>
          </w:tcPr>
          <w:p w14:paraId="3062915E" w14:textId="63792644" w:rsidR="006B7B8E" w:rsidRPr="004537BE" w:rsidRDefault="006B7B8E" w:rsidP="00671353">
            <w:pPr>
              <w:pStyle w:val="ListParagraph"/>
              <w:numPr>
                <w:ilvl w:val="0"/>
                <w:numId w:val="22"/>
              </w:numPr>
              <w:spacing w:after="0"/>
              <w:rPr>
                <w:rFonts w:asciiTheme="minorHAnsi" w:eastAsia="Calibri" w:hAnsiTheme="minorHAnsi" w:cstheme="minorHAnsi"/>
                <w:color w:val="000000" w:themeColor="text1"/>
                <w:szCs w:val="20"/>
              </w:rPr>
            </w:pPr>
            <w:r w:rsidRPr="004537BE">
              <w:rPr>
                <w:rFonts w:asciiTheme="minorHAnsi" w:eastAsia="Calibri" w:hAnsiTheme="minorHAnsi" w:cstheme="minorHAnsi"/>
                <w:color w:val="000000" w:themeColor="text1"/>
                <w:szCs w:val="20"/>
              </w:rPr>
              <w:t xml:space="preserve">Proposal to amend paragraph 5 of the Income Tax Act (Allowability of Bad Debts Guidelines), 2024: Bad debts of capital nature </w:t>
            </w:r>
          </w:p>
          <w:p w14:paraId="506F9DF6" w14:textId="77777777" w:rsidR="006B7B8E" w:rsidRPr="004537BE" w:rsidRDefault="006B7B8E" w:rsidP="005C015F">
            <w:pPr>
              <w:rPr>
                <w:rFonts w:eastAsia="Calibri" w:cstheme="minorHAnsi"/>
                <w:color w:val="000000" w:themeColor="text1"/>
                <w:sz w:val="20"/>
                <w:szCs w:val="20"/>
              </w:rPr>
            </w:pPr>
          </w:p>
          <w:p w14:paraId="650BC5E6" w14:textId="77777777" w:rsidR="006B7B8E" w:rsidRPr="004537BE" w:rsidRDefault="006B7B8E" w:rsidP="005C015F">
            <w:pPr>
              <w:rPr>
                <w:rFonts w:eastAsia="Calibri" w:cstheme="minorHAnsi"/>
                <w:color w:val="000000" w:themeColor="text1"/>
                <w:sz w:val="20"/>
                <w:szCs w:val="20"/>
              </w:rPr>
            </w:pPr>
            <w:r w:rsidRPr="004537BE">
              <w:rPr>
                <w:rFonts w:eastAsia="Calibri" w:cstheme="minorHAnsi"/>
                <w:i/>
                <w:color w:val="000000" w:themeColor="text1"/>
                <w:sz w:val="20"/>
                <w:szCs w:val="20"/>
              </w:rPr>
              <w:t>For the purposes of these guidelines, a bad debt which is of a capital nature shall not be an allowable expense.</w:t>
            </w:r>
          </w:p>
          <w:p w14:paraId="0FB3F91A" w14:textId="77777777" w:rsidR="006B7B8E" w:rsidRPr="004537BE" w:rsidRDefault="006B7B8E" w:rsidP="005C015F">
            <w:pPr>
              <w:rPr>
                <w:rFonts w:eastAsia="Calibri" w:cstheme="minorHAnsi"/>
                <w:color w:val="000000" w:themeColor="text1"/>
                <w:sz w:val="20"/>
                <w:szCs w:val="20"/>
              </w:rPr>
            </w:pPr>
          </w:p>
          <w:p w14:paraId="0668072E" w14:textId="77777777" w:rsidR="006B7B8E" w:rsidRPr="004537BE" w:rsidRDefault="006B7B8E" w:rsidP="005C015F">
            <w:pPr>
              <w:rPr>
                <w:rFonts w:eastAsia="Calibri" w:cstheme="minorHAnsi"/>
                <w:color w:val="000000" w:themeColor="text1"/>
                <w:sz w:val="20"/>
                <w:szCs w:val="20"/>
              </w:rPr>
            </w:pPr>
          </w:p>
          <w:p w14:paraId="5FE8340B" w14:textId="77777777" w:rsidR="006B7B8E" w:rsidRPr="004537BE" w:rsidRDefault="006B7B8E" w:rsidP="005C015F">
            <w:pPr>
              <w:rPr>
                <w:rFonts w:eastAsia="Calibri" w:cstheme="minorHAnsi"/>
                <w:color w:val="000000" w:themeColor="text1"/>
                <w:sz w:val="20"/>
                <w:szCs w:val="20"/>
              </w:rPr>
            </w:pPr>
          </w:p>
        </w:tc>
        <w:tc>
          <w:tcPr>
            <w:tcW w:w="1372" w:type="pct"/>
          </w:tcPr>
          <w:p w14:paraId="1ABE5235" w14:textId="77777777" w:rsidR="00671353" w:rsidRPr="004537BE" w:rsidRDefault="006B7B8E" w:rsidP="005C015F">
            <w:pPr>
              <w:pStyle w:val="ListParagraph"/>
              <w:numPr>
                <w:ilvl w:val="0"/>
                <w:numId w:val="23"/>
              </w:numPr>
              <w:spacing w:after="0"/>
              <w:rPr>
                <w:rFonts w:asciiTheme="minorHAnsi" w:eastAsia="Calibri" w:hAnsiTheme="minorHAnsi" w:cstheme="minorHAnsi"/>
                <w:i/>
                <w:color w:val="000000" w:themeColor="text1"/>
                <w:szCs w:val="20"/>
              </w:rPr>
            </w:pPr>
            <w:r w:rsidRPr="004537BE">
              <w:rPr>
                <w:rFonts w:asciiTheme="minorHAnsi" w:eastAsia="Calibri" w:hAnsiTheme="minorHAnsi" w:cstheme="minorHAnsi"/>
                <w:color w:val="000000" w:themeColor="text1"/>
                <w:szCs w:val="20"/>
              </w:rPr>
              <w:t xml:space="preserve">Revise paragraph 5 on Bad debts of capital nature as follows: </w:t>
            </w:r>
            <w:r w:rsidRPr="004537BE">
              <w:rPr>
                <w:rFonts w:asciiTheme="minorHAnsi" w:eastAsia="Calibri" w:hAnsiTheme="minorHAnsi" w:cstheme="minorHAnsi"/>
                <w:color w:val="000000" w:themeColor="text1"/>
                <w:szCs w:val="20"/>
              </w:rPr>
              <w:br/>
            </w:r>
            <w:r w:rsidRPr="004537BE">
              <w:rPr>
                <w:rFonts w:asciiTheme="minorHAnsi" w:eastAsia="Calibri" w:hAnsiTheme="minorHAnsi" w:cstheme="minorHAnsi"/>
                <w:color w:val="000000" w:themeColor="text1"/>
                <w:szCs w:val="20"/>
              </w:rPr>
              <w:br/>
            </w:r>
            <w:r w:rsidRPr="004537BE">
              <w:rPr>
                <w:rFonts w:asciiTheme="minorHAnsi" w:eastAsia="Calibri" w:hAnsiTheme="minorHAnsi" w:cstheme="minorHAnsi"/>
                <w:i/>
                <w:color w:val="000000" w:themeColor="text1"/>
                <w:szCs w:val="20"/>
              </w:rPr>
              <w:t>‘5. For the purposes of these guidelines, a bad debt which</w:t>
            </w:r>
            <w:r w:rsidR="00671353" w:rsidRPr="004537BE">
              <w:rPr>
                <w:rFonts w:asciiTheme="minorHAnsi" w:eastAsia="Calibri" w:hAnsiTheme="minorHAnsi" w:cstheme="minorHAnsi"/>
                <w:i/>
                <w:color w:val="000000" w:themeColor="text1"/>
                <w:szCs w:val="20"/>
              </w:rPr>
              <w:t xml:space="preserve"> </w:t>
            </w:r>
            <w:r w:rsidRPr="004537BE">
              <w:rPr>
                <w:rFonts w:asciiTheme="minorHAnsi" w:eastAsia="Calibri" w:hAnsiTheme="minorHAnsi" w:cstheme="minorHAnsi"/>
                <w:i/>
                <w:color w:val="000000" w:themeColor="text1"/>
                <w:szCs w:val="20"/>
              </w:rPr>
              <w:t>is of a capital nature shall not be an allowable expense.</w:t>
            </w:r>
          </w:p>
          <w:p w14:paraId="32186C2F" w14:textId="77777777" w:rsidR="00671353" w:rsidRPr="004537BE" w:rsidRDefault="00671353" w:rsidP="00671353">
            <w:pPr>
              <w:pStyle w:val="ListParagraph"/>
              <w:spacing w:after="0"/>
              <w:rPr>
                <w:rFonts w:asciiTheme="minorHAnsi" w:eastAsia="Calibri" w:hAnsiTheme="minorHAnsi" w:cstheme="minorHAnsi"/>
                <w:i/>
                <w:color w:val="000000" w:themeColor="text1"/>
                <w:szCs w:val="20"/>
              </w:rPr>
            </w:pPr>
          </w:p>
          <w:p w14:paraId="245EA2E9" w14:textId="12646F8F" w:rsidR="006B7B8E" w:rsidRPr="004537BE" w:rsidRDefault="006B7B8E" w:rsidP="00671353">
            <w:pPr>
              <w:pStyle w:val="ListParagraph"/>
              <w:spacing w:after="0"/>
              <w:rPr>
                <w:rFonts w:asciiTheme="minorHAnsi" w:eastAsia="Calibri" w:hAnsiTheme="minorHAnsi" w:cstheme="minorHAnsi"/>
                <w:i/>
                <w:color w:val="000000" w:themeColor="text1"/>
                <w:szCs w:val="20"/>
              </w:rPr>
            </w:pPr>
            <w:r w:rsidRPr="004537BE">
              <w:rPr>
                <w:rFonts w:asciiTheme="minorHAnsi" w:eastAsia="Calibri" w:hAnsiTheme="minorHAnsi" w:cstheme="minorHAnsi"/>
                <w:i/>
                <w:color w:val="000000" w:themeColor="text1"/>
                <w:szCs w:val="20"/>
              </w:rPr>
              <w:t xml:space="preserve">Provided that, for taxpayers engaged in the business of lending, both the principal and interest components of a loan that becomes a bad debt shall be allowable expenses, if the debt meets the conditions outlined in paragraph 2 and 3 of these guidelines’ </w:t>
            </w:r>
          </w:p>
        </w:tc>
        <w:tc>
          <w:tcPr>
            <w:tcW w:w="1343" w:type="pct"/>
          </w:tcPr>
          <w:p w14:paraId="322CBB8F" w14:textId="77777777" w:rsidR="00671353" w:rsidRPr="004537BE" w:rsidRDefault="006B7B8E" w:rsidP="005C015F">
            <w:pPr>
              <w:pStyle w:val="ListParagraph"/>
              <w:numPr>
                <w:ilvl w:val="0"/>
                <w:numId w:val="23"/>
              </w:numPr>
              <w:spacing w:after="0"/>
              <w:rPr>
                <w:rFonts w:asciiTheme="minorHAnsi" w:eastAsia="Calibri" w:hAnsiTheme="minorHAnsi" w:cstheme="minorHAnsi"/>
                <w:color w:val="000000" w:themeColor="text1"/>
                <w:szCs w:val="20"/>
              </w:rPr>
            </w:pPr>
            <w:r w:rsidRPr="004537BE">
              <w:rPr>
                <w:rFonts w:asciiTheme="minorHAnsi" w:eastAsia="Calibri" w:hAnsiTheme="minorHAnsi" w:cstheme="minorHAnsi"/>
                <w:color w:val="000000" w:themeColor="text1"/>
                <w:szCs w:val="20"/>
              </w:rPr>
              <w:t xml:space="preserve">The provision as is states that bad debts of a capital nature are not allowable expenses for tax purposes.    </w:t>
            </w:r>
          </w:p>
          <w:p w14:paraId="72F5A0FF" w14:textId="77777777" w:rsidR="00671353" w:rsidRPr="004537BE" w:rsidRDefault="006B7B8E" w:rsidP="005C015F">
            <w:pPr>
              <w:pStyle w:val="ListParagraph"/>
              <w:numPr>
                <w:ilvl w:val="0"/>
                <w:numId w:val="23"/>
              </w:numPr>
              <w:spacing w:after="0"/>
              <w:rPr>
                <w:rFonts w:asciiTheme="minorHAnsi" w:eastAsia="Calibri" w:hAnsiTheme="minorHAnsi" w:cstheme="minorHAnsi"/>
                <w:color w:val="000000" w:themeColor="text1"/>
                <w:szCs w:val="20"/>
              </w:rPr>
            </w:pPr>
            <w:r w:rsidRPr="004537BE">
              <w:rPr>
                <w:rFonts w:asciiTheme="minorHAnsi" w:eastAsia="Calibri" w:hAnsiTheme="minorHAnsi" w:cstheme="minorHAnsi"/>
                <w:color w:val="000000" w:themeColor="text1"/>
                <w:szCs w:val="20"/>
              </w:rPr>
              <w:t xml:space="preserve">This provision may be subject to varying interpretations, particularly for businesses in the money lending sector.    </w:t>
            </w:r>
          </w:p>
          <w:p w14:paraId="4A8E31D3" w14:textId="7747F985" w:rsidR="006B7B8E" w:rsidRPr="004537BE" w:rsidRDefault="006B7B8E" w:rsidP="005C015F">
            <w:pPr>
              <w:pStyle w:val="ListParagraph"/>
              <w:numPr>
                <w:ilvl w:val="0"/>
                <w:numId w:val="23"/>
              </w:numPr>
              <w:spacing w:after="0"/>
              <w:rPr>
                <w:rFonts w:asciiTheme="minorHAnsi" w:eastAsia="Calibri" w:hAnsiTheme="minorHAnsi" w:cstheme="minorHAnsi"/>
                <w:color w:val="000000" w:themeColor="text1"/>
                <w:szCs w:val="20"/>
              </w:rPr>
            </w:pPr>
            <w:r w:rsidRPr="004537BE">
              <w:rPr>
                <w:rFonts w:asciiTheme="minorHAnsi" w:eastAsia="Calibri" w:hAnsiTheme="minorHAnsi" w:cstheme="minorHAnsi"/>
                <w:color w:val="000000" w:themeColor="text1"/>
                <w:szCs w:val="20"/>
              </w:rPr>
              <w:t>There is ambiguity regarding the deductibility of the principal portion of bad debts for financial institutions and other taxpayers involved in lending. While some may interpret the law to allow deductions for both principal and interest, others believe only the interest portion is deductible. This lack of clarity could lead to disputes with the tax authorities.</w:t>
            </w:r>
          </w:p>
        </w:tc>
      </w:tr>
      <w:tr w:rsidR="00F55741" w:rsidRPr="004537BE" w14:paraId="4609A917" w14:textId="77777777" w:rsidTr="00F55741">
        <w:tc>
          <w:tcPr>
            <w:tcW w:w="5000" w:type="pct"/>
            <w:gridSpan w:val="5"/>
          </w:tcPr>
          <w:p w14:paraId="0D8BC4CD" w14:textId="6EDEA162" w:rsidR="00F55741" w:rsidRPr="004537BE" w:rsidRDefault="00F55741" w:rsidP="00F55741">
            <w:pPr>
              <w:widowControl w:val="0"/>
              <w:spacing w:before="240"/>
              <w:jc w:val="center"/>
              <w:rPr>
                <w:rFonts w:cstheme="minorHAnsi"/>
                <w:b/>
                <w:color w:val="000000" w:themeColor="text1"/>
                <w:sz w:val="20"/>
                <w:szCs w:val="20"/>
              </w:rPr>
            </w:pPr>
            <w:r w:rsidRPr="004537BE">
              <w:rPr>
                <w:rFonts w:cstheme="minorHAnsi"/>
                <w:b/>
                <w:color w:val="000000" w:themeColor="text1"/>
                <w:sz w:val="20"/>
                <w:szCs w:val="20"/>
                <w:lang w:val="en-US"/>
              </w:rPr>
              <w:t>VAT ACT</w:t>
            </w:r>
          </w:p>
        </w:tc>
      </w:tr>
      <w:tr w:rsidR="00D43AD7" w:rsidRPr="004537BE" w14:paraId="5F289B1B" w14:textId="77777777" w:rsidTr="005C015F">
        <w:tc>
          <w:tcPr>
            <w:tcW w:w="151" w:type="pct"/>
          </w:tcPr>
          <w:p w14:paraId="153F0BD0" w14:textId="77777777" w:rsidR="00D43AD7" w:rsidRPr="004537BE" w:rsidRDefault="00D43AD7" w:rsidP="005C015F">
            <w:pPr>
              <w:pStyle w:val="ListParagraph"/>
              <w:numPr>
                <w:ilvl w:val="0"/>
                <w:numId w:val="14"/>
              </w:numPr>
              <w:spacing w:after="0"/>
              <w:rPr>
                <w:rFonts w:asciiTheme="minorHAnsi" w:hAnsiTheme="minorHAnsi" w:cstheme="minorHAnsi"/>
                <w:color w:val="000000" w:themeColor="text1"/>
                <w:szCs w:val="20"/>
              </w:rPr>
            </w:pPr>
          </w:p>
        </w:tc>
        <w:tc>
          <w:tcPr>
            <w:tcW w:w="915" w:type="pct"/>
          </w:tcPr>
          <w:p w14:paraId="2EB4E2C3" w14:textId="19BCC8C3" w:rsidR="00D43AD7" w:rsidRPr="004537BE" w:rsidRDefault="00D43AD7" w:rsidP="005C015F">
            <w:pPr>
              <w:pStyle w:val="ListParagraph"/>
              <w:numPr>
                <w:ilvl w:val="0"/>
                <w:numId w:val="25"/>
              </w:numPr>
              <w:spacing w:after="0"/>
              <w:rPr>
                <w:rFonts w:asciiTheme="minorHAnsi" w:hAnsiTheme="minorHAnsi" w:cstheme="minorHAnsi"/>
                <w:color w:val="000000" w:themeColor="text1"/>
                <w:szCs w:val="20"/>
              </w:rPr>
            </w:pPr>
            <w:r w:rsidRPr="00D43AD7">
              <w:rPr>
                <w:rFonts w:asciiTheme="minorHAnsi" w:hAnsiTheme="minorHAnsi" w:cstheme="minorHAnsi"/>
                <w:color w:val="000000" w:themeColor="text1"/>
                <w:szCs w:val="20"/>
              </w:rPr>
              <w:t>Section 36 (j)</w:t>
            </w:r>
          </w:p>
        </w:tc>
        <w:tc>
          <w:tcPr>
            <w:tcW w:w="1219" w:type="pct"/>
          </w:tcPr>
          <w:p w14:paraId="6E163B59" w14:textId="77777777" w:rsidR="00D43AD7" w:rsidRPr="00D43AD7" w:rsidRDefault="00D43AD7" w:rsidP="00D43AD7">
            <w:pPr>
              <w:pStyle w:val="ListParagraph"/>
              <w:numPr>
                <w:ilvl w:val="0"/>
                <w:numId w:val="25"/>
              </w:numPr>
              <w:spacing w:after="0"/>
              <w:rPr>
                <w:rFonts w:asciiTheme="minorHAnsi" w:hAnsiTheme="minorHAnsi" w:cstheme="minorHAnsi"/>
                <w:color w:val="000000" w:themeColor="text1"/>
                <w:szCs w:val="20"/>
              </w:rPr>
            </w:pPr>
            <w:r w:rsidRPr="00D43AD7">
              <w:rPr>
                <w:rFonts w:asciiTheme="minorHAnsi" w:hAnsiTheme="minorHAnsi" w:cstheme="minorHAnsi"/>
                <w:color w:val="000000" w:themeColor="text1"/>
                <w:szCs w:val="20"/>
              </w:rPr>
              <w:t>By deleting paragraph 113:</w:t>
            </w:r>
          </w:p>
          <w:p w14:paraId="6C6C0F28" w14:textId="65EFB7F8" w:rsidR="00D43AD7" w:rsidRPr="004537BE" w:rsidRDefault="00D43AD7" w:rsidP="00D43AD7">
            <w:pPr>
              <w:pStyle w:val="ListParagraph"/>
              <w:spacing w:after="0"/>
              <w:rPr>
                <w:rFonts w:asciiTheme="minorHAnsi" w:hAnsiTheme="minorHAnsi" w:cstheme="minorHAnsi"/>
                <w:color w:val="000000" w:themeColor="text1"/>
                <w:szCs w:val="20"/>
              </w:rPr>
            </w:pPr>
            <w:r w:rsidRPr="00D43AD7">
              <w:rPr>
                <w:rFonts w:asciiTheme="minorHAnsi" w:hAnsiTheme="minorHAnsi" w:cstheme="minorHAnsi"/>
                <w:color w:val="000000" w:themeColor="text1"/>
                <w:szCs w:val="20"/>
              </w:rPr>
              <w:t xml:space="preserve">Provided that an exemption that had been approved pursuant to paragraph 113 </w:t>
            </w:r>
            <w:r w:rsidRPr="00D43AD7">
              <w:rPr>
                <w:rFonts w:asciiTheme="minorHAnsi" w:hAnsiTheme="minorHAnsi" w:cstheme="minorHAnsi"/>
                <w:color w:val="000000" w:themeColor="text1"/>
                <w:szCs w:val="20"/>
              </w:rPr>
              <w:lastRenderedPageBreak/>
              <w:t>before the deletion of paragraph 113 came into effect shall continue to apply until 30th June, 2026;</w:t>
            </w:r>
          </w:p>
        </w:tc>
        <w:tc>
          <w:tcPr>
            <w:tcW w:w="1372" w:type="pct"/>
          </w:tcPr>
          <w:p w14:paraId="088E53D7" w14:textId="0852C606" w:rsidR="00D43AD7" w:rsidRPr="004537BE" w:rsidRDefault="00D43AD7" w:rsidP="008379FA">
            <w:pPr>
              <w:pStyle w:val="ListParagraph"/>
              <w:widowControl w:val="0"/>
              <w:numPr>
                <w:ilvl w:val="0"/>
                <w:numId w:val="25"/>
              </w:numPr>
              <w:spacing w:after="0"/>
              <w:rPr>
                <w:rFonts w:asciiTheme="minorHAnsi" w:hAnsiTheme="minorHAnsi" w:cstheme="minorHAnsi"/>
                <w:color w:val="000000" w:themeColor="text1"/>
                <w:szCs w:val="20"/>
              </w:rPr>
            </w:pPr>
            <w:r w:rsidRPr="00D43AD7">
              <w:rPr>
                <w:rFonts w:asciiTheme="minorHAnsi" w:hAnsiTheme="minorHAnsi" w:cstheme="minorHAnsi"/>
                <w:color w:val="000000" w:themeColor="text1"/>
                <w:szCs w:val="20"/>
              </w:rPr>
              <w:lastRenderedPageBreak/>
              <w:t xml:space="preserve">Deletion of the VAT exemption relating to specialized equipment for the development and generation of solar and wind </w:t>
            </w:r>
            <w:r w:rsidRPr="00D43AD7">
              <w:rPr>
                <w:rFonts w:asciiTheme="minorHAnsi" w:hAnsiTheme="minorHAnsi" w:cstheme="minorHAnsi"/>
                <w:color w:val="000000" w:themeColor="text1"/>
                <w:szCs w:val="20"/>
              </w:rPr>
              <w:lastRenderedPageBreak/>
              <w:t>energy.</w:t>
            </w:r>
          </w:p>
        </w:tc>
        <w:tc>
          <w:tcPr>
            <w:tcW w:w="1343" w:type="pct"/>
          </w:tcPr>
          <w:p w14:paraId="57331E92" w14:textId="394F0C50" w:rsidR="00D43AD7" w:rsidRPr="004537BE" w:rsidRDefault="00D43AD7" w:rsidP="008379FA">
            <w:pPr>
              <w:pStyle w:val="ListParagraph"/>
              <w:widowControl w:val="0"/>
              <w:numPr>
                <w:ilvl w:val="0"/>
                <w:numId w:val="25"/>
              </w:numPr>
              <w:spacing w:before="240" w:after="0"/>
              <w:rPr>
                <w:rFonts w:asciiTheme="minorHAnsi" w:hAnsiTheme="minorHAnsi" w:cstheme="minorHAnsi"/>
                <w:color w:val="000000" w:themeColor="text1"/>
                <w:szCs w:val="20"/>
              </w:rPr>
            </w:pPr>
            <w:r w:rsidRPr="00D43AD7">
              <w:rPr>
                <w:rFonts w:asciiTheme="minorHAnsi" w:hAnsiTheme="minorHAnsi" w:cstheme="minorHAnsi"/>
                <w:color w:val="000000" w:themeColor="text1"/>
                <w:szCs w:val="20"/>
              </w:rPr>
              <w:lastRenderedPageBreak/>
              <w:t xml:space="preserve">An imposition of 16% VAT on importation of specialized equipment used in the development of solar and wind </w:t>
            </w:r>
            <w:r w:rsidRPr="00D43AD7">
              <w:rPr>
                <w:rFonts w:asciiTheme="minorHAnsi" w:hAnsiTheme="minorHAnsi" w:cstheme="minorHAnsi"/>
                <w:color w:val="000000" w:themeColor="text1"/>
                <w:szCs w:val="20"/>
              </w:rPr>
              <w:lastRenderedPageBreak/>
              <w:t>energy, will significantly increase operation costs and in turn the cost of power in the country. The report by the National Assembly on the Inquiry of the High Cost of Power, highlights several recommendations that will lead to a reduction in the power costs, however, this proposal of removal from VAT exempt status will go against the efforts the report and its recommendations therein are trying to achieve.</w:t>
            </w:r>
          </w:p>
        </w:tc>
      </w:tr>
      <w:tr w:rsidR="00D43AD7" w:rsidRPr="004537BE" w14:paraId="42E4FFE1" w14:textId="77777777" w:rsidTr="005C015F">
        <w:tc>
          <w:tcPr>
            <w:tcW w:w="151" w:type="pct"/>
          </w:tcPr>
          <w:p w14:paraId="14917DF0" w14:textId="77777777" w:rsidR="00D43AD7" w:rsidRPr="004537BE" w:rsidRDefault="00D43AD7" w:rsidP="005C015F">
            <w:pPr>
              <w:pStyle w:val="ListParagraph"/>
              <w:numPr>
                <w:ilvl w:val="0"/>
                <w:numId w:val="14"/>
              </w:numPr>
              <w:spacing w:after="0"/>
              <w:rPr>
                <w:rFonts w:asciiTheme="minorHAnsi" w:hAnsiTheme="minorHAnsi" w:cstheme="minorHAnsi"/>
                <w:color w:val="000000" w:themeColor="text1"/>
                <w:szCs w:val="20"/>
              </w:rPr>
            </w:pPr>
          </w:p>
        </w:tc>
        <w:tc>
          <w:tcPr>
            <w:tcW w:w="915" w:type="pct"/>
          </w:tcPr>
          <w:p w14:paraId="2C991AA2" w14:textId="7A27FE38" w:rsidR="00D43AD7" w:rsidRPr="00D43AD7" w:rsidRDefault="00D43AD7" w:rsidP="005C015F">
            <w:pPr>
              <w:pStyle w:val="ListParagraph"/>
              <w:numPr>
                <w:ilvl w:val="0"/>
                <w:numId w:val="25"/>
              </w:numPr>
              <w:spacing w:after="0"/>
              <w:rPr>
                <w:rFonts w:asciiTheme="minorHAnsi" w:hAnsiTheme="minorHAnsi" w:cstheme="minorHAnsi"/>
                <w:color w:val="000000" w:themeColor="text1"/>
                <w:szCs w:val="20"/>
              </w:rPr>
            </w:pPr>
            <w:r w:rsidRPr="00D43AD7">
              <w:rPr>
                <w:rFonts w:asciiTheme="minorHAnsi" w:hAnsiTheme="minorHAnsi" w:cstheme="minorHAnsi"/>
                <w:color w:val="000000" w:themeColor="text1"/>
                <w:szCs w:val="20"/>
              </w:rPr>
              <w:t>Section 36 (</w:t>
            </w:r>
            <w:proofErr w:type="spellStart"/>
            <w:r w:rsidRPr="00D43AD7">
              <w:rPr>
                <w:rFonts w:asciiTheme="minorHAnsi" w:hAnsiTheme="minorHAnsi" w:cstheme="minorHAnsi"/>
                <w:color w:val="000000" w:themeColor="text1"/>
                <w:szCs w:val="20"/>
              </w:rPr>
              <w:t>i</w:t>
            </w:r>
            <w:proofErr w:type="spellEnd"/>
            <w:r w:rsidRPr="00D43AD7">
              <w:rPr>
                <w:rFonts w:asciiTheme="minorHAnsi" w:hAnsiTheme="minorHAnsi" w:cstheme="minorHAnsi"/>
                <w:color w:val="000000" w:themeColor="text1"/>
                <w:szCs w:val="20"/>
              </w:rPr>
              <w:t>)</w:t>
            </w:r>
          </w:p>
        </w:tc>
        <w:tc>
          <w:tcPr>
            <w:tcW w:w="1219" w:type="pct"/>
          </w:tcPr>
          <w:p w14:paraId="09E9758A" w14:textId="77777777" w:rsidR="00D43AD7" w:rsidRPr="00D43AD7" w:rsidRDefault="00D43AD7" w:rsidP="00D43AD7">
            <w:pPr>
              <w:pStyle w:val="ListParagraph"/>
              <w:numPr>
                <w:ilvl w:val="0"/>
                <w:numId w:val="25"/>
              </w:numPr>
              <w:spacing w:after="0"/>
              <w:rPr>
                <w:rFonts w:asciiTheme="minorHAnsi" w:hAnsiTheme="minorHAnsi" w:cstheme="minorHAnsi"/>
                <w:color w:val="000000" w:themeColor="text1"/>
                <w:szCs w:val="20"/>
              </w:rPr>
            </w:pPr>
            <w:r w:rsidRPr="00D43AD7">
              <w:rPr>
                <w:rFonts w:asciiTheme="minorHAnsi" w:hAnsiTheme="minorHAnsi" w:cstheme="minorHAnsi"/>
                <w:color w:val="000000" w:themeColor="text1"/>
                <w:szCs w:val="20"/>
              </w:rPr>
              <w:t xml:space="preserve">By deleting paragraph 112: </w:t>
            </w:r>
          </w:p>
          <w:p w14:paraId="089F8668" w14:textId="5C4ED7BE" w:rsidR="00D43AD7" w:rsidRPr="00D43AD7" w:rsidRDefault="00D43AD7" w:rsidP="00D43AD7">
            <w:pPr>
              <w:pStyle w:val="ListParagraph"/>
              <w:spacing w:after="0"/>
              <w:rPr>
                <w:rFonts w:asciiTheme="minorHAnsi" w:hAnsiTheme="minorHAnsi" w:cstheme="minorHAnsi"/>
                <w:color w:val="000000" w:themeColor="text1"/>
                <w:szCs w:val="20"/>
              </w:rPr>
            </w:pPr>
            <w:r w:rsidRPr="00D43AD7">
              <w:rPr>
                <w:rFonts w:asciiTheme="minorHAnsi" w:hAnsiTheme="minorHAnsi" w:cstheme="minorHAnsi"/>
                <w:color w:val="000000" w:themeColor="text1"/>
                <w:szCs w:val="20"/>
              </w:rPr>
              <w:t>Provided that an exemption that had been approved pursuant to paragraph 112 before the deletion of paragraph 112 came into effect shall continue to apply until 30th June, 2026;</w:t>
            </w:r>
          </w:p>
        </w:tc>
        <w:tc>
          <w:tcPr>
            <w:tcW w:w="1372" w:type="pct"/>
          </w:tcPr>
          <w:p w14:paraId="6AF3F72E" w14:textId="6F079A79" w:rsidR="00D43AD7" w:rsidRPr="00D43AD7" w:rsidRDefault="00D43AD7" w:rsidP="008379FA">
            <w:pPr>
              <w:pStyle w:val="ListParagraph"/>
              <w:widowControl w:val="0"/>
              <w:numPr>
                <w:ilvl w:val="0"/>
                <w:numId w:val="25"/>
              </w:numPr>
              <w:spacing w:after="0"/>
              <w:rPr>
                <w:rFonts w:asciiTheme="minorHAnsi" w:hAnsiTheme="minorHAnsi" w:cstheme="minorHAnsi"/>
                <w:color w:val="000000" w:themeColor="text1"/>
                <w:szCs w:val="20"/>
              </w:rPr>
            </w:pPr>
            <w:r w:rsidRPr="00D43AD7">
              <w:rPr>
                <w:rFonts w:asciiTheme="minorHAnsi" w:hAnsiTheme="minorHAnsi" w:cstheme="minorHAnsi"/>
                <w:color w:val="000000" w:themeColor="text1"/>
                <w:szCs w:val="20"/>
              </w:rPr>
              <w:t>Deletion of the VAT exemption relating to geothermal, oil or mining prospecting or exploration</w:t>
            </w:r>
          </w:p>
        </w:tc>
        <w:tc>
          <w:tcPr>
            <w:tcW w:w="1343" w:type="pct"/>
          </w:tcPr>
          <w:p w14:paraId="26067F12" w14:textId="77777777" w:rsidR="00D43AD7" w:rsidRPr="00D43AD7" w:rsidRDefault="00D43AD7" w:rsidP="00D43AD7">
            <w:pPr>
              <w:pStyle w:val="ListParagraph"/>
              <w:widowControl w:val="0"/>
              <w:numPr>
                <w:ilvl w:val="0"/>
                <w:numId w:val="25"/>
              </w:numPr>
              <w:spacing w:before="240" w:after="0"/>
              <w:rPr>
                <w:rFonts w:asciiTheme="minorHAnsi" w:hAnsiTheme="minorHAnsi" w:cstheme="minorHAnsi"/>
                <w:color w:val="000000" w:themeColor="text1"/>
                <w:szCs w:val="20"/>
              </w:rPr>
            </w:pPr>
            <w:r w:rsidRPr="00D43AD7">
              <w:rPr>
                <w:rFonts w:asciiTheme="minorHAnsi" w:hAnsiTheme="minorHAnsi" w:cstheme="minorHAnsi"/>
                <w:color w:val="000000" w:themeColor="text1"/>
                <w:szCs w:val="20"/>
              </w:rPr>
              <w:t>Kenya’s primary source of power is geothermal energy, contributing approximately 47% of the country’s electricity generation. The proposed imposition of 16% VAT on equipment and services essential to this sector will significantly increase operational costs. This will not only lead to higher electricity prices for consumers but also discourage investment in renewable energy infrastructure, thereby slowing the country’s progress toward its goal of achieving 100% renewable energy.</w:t>
            </w:r>
          </w:p>
          <w:p w14:paraId="2C5E90C7" w14:textId="248193B4" w:rsidR="00D43AD7" w:rsidRPr="00D43AD7" w:rsidRDefault="00D43AD7" w:rsidP="00D43AD7">
            <w:pPr>
              <w:pStyle w:val="ListParagraph"/>
              <w:widowControl w:val="0"/>
              <w:numPr>
                <w:ilvl w:val="0"/>
                <w:numId w:val="25"/>
              </w:numPr>
              <w:spacing w:before="240" w:after="0"/>
              <w:rPr>
                <w:rFonts w:asciiTheme="minorHAnsi" w:hAnsiTheme="minorHAnsi" w:cstheme="minorHAnsi"/>
                <w:color w:val="000000" w:themeColor="text1"/>
                <w:szCs w:val="20"/>
              </w:rPr>
            </w:pPr>
            <w:bookmarkStart w:id="2" w:name="_GoBack"/>
            <w:bookmarkEnd w:id="2"/>
            <w:r w:rsidRPr="00D43AD7">
              <w:rPr>
                <w:rFonts w:asciiTheme="minorHAnsi" w:hAnsiTheme="minorHAnsi" w:cstheme="minorHAnsi"/>
                <w:color w:val="000000" w:themeColor="text1"/>
                <w:szCs w:val="20"/>
              </w:rPr>
              <w:t xml:space="preserve">Moreover, by subjecting critical capital equipment to VAT, the government effectively raises the cost of doing business in a sector </w:t>
            </w:r>
            <w:r w:rsidRPr="00D43AD7">
              <w:rPr>
                <w:rFonts w:asciiTheme="minorHAnsi" w:hAnsiTheme="minorHAnsi" w:cstheme="minorHAnsi"/>
                <w:color w:val="000000" w:themeColor="text1"/>
                <w:szCs w:val="20"/>
              </w:rPr>
              <w:lastRenderedPageBreak/>
              <w:t>that is already capital-intensive and heavily regulated. This additional tax burden amounts to multiple taxation, which is not only redundant but also counterproductive, as it deters private sector participation, delays project execution, and undermines Kenya’s competitiveness as a clean energy leader in the region.</w:t>
            </w:r>
          </w:p>
        </w:tc>
      </w:tr>
      <w:tr w:rsidR="006B7B8E" w:rsidRPr="004537BE" w14:paraId="1A4EE87C" w14:textId="77777777" w:rsidTr="005C015F">
        <w:tc>
          <w:tcPr>
            <w:tcW w:w="151" w:type="pct"/>
          </w:tcPr>
          <w:p w14:paraId="7BA8AF2B" w14:textId="77777777" w:rsidR="006B7B8E" w:rsidRPr="004537BE" w:rsidRDefault="006B7B8E" w:rsidP="005C015F">
            <w:pPr>
              <w:pStyle w:val="ListParagraph"/>
              <w:numPr>
                <w:ilvl w:val="0"/>
                <w:numId w:val="14"/>
              </w:numPr>
              <w:spacing w:after="0"/>
              <w:rPr>
                <w:rFonts w:asciiTheme="minorHAnsi" w:hAnsiTheme="minorHAnsi" w:cstheme="minorHAnsi"/>
                <w:color w:val="000000" w:themeColor="text1"/>
                <w:szCs w:val="20"/>
              </w:rPr>
            </w:pPr>
          </w:p>
        </w:tc>
        <w:tc>
          <w:tcPr>
            <w:tcW w:w="915" w:type="pct"/>
          </w:tcPr>
          <w:p w14:paraId="1C220DD8" w14:textId="77777777" w:rsidR="008379FA" w:rsidRPr="004537BE" w:rsidRDefault="006B7B8E" w:rsidP="005C015F">
            <w:pPr>
              <w:pStyle w:val="ListParagraph"/>
              <w:numPr>
                <w:ilvl w:val="0"/>
                <w:numId w:val="25"/>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Section 36 (L) of the Finance Bill FIRST SCHEDULE </w:t>
            </w:r>
          </w:p>
          <w:p w14:paraId="1EE7C973" w14:textId="6EDC9843" w:rsidR="006B7B8E" w:rsidRPr="004537BE" w:rsidRDefault="006B7B8E" w:rsidP="008379FA">
            <w:pPr>
              <w:pStyle w:val="ListParagraph"/>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[s. 2(1)] EXEMPT SUPPLIES Part I</w:t>
            </w:r>
            <w:r w:rsidR="008379FA" w:rsidRPr="004537BE">
              <w:rPr>
                <w:rFonts w:asciiTheme="minorHAnsi" w:hAnsiTheme="minorHAnsi" w:cstheme="minorHAnsi"/>
                <w:color w:val="000000" w:themeColor="text1"/>
                <w:szCs w:val="20"/>
              </w:rPr>
              <w:t xml:space="preserve"> </w:t>
            </w:r>
            <w:r w:rsidRPr="004537BE">
              <w:rPr>
                <w:rFonts w:asciiTheme="minorHAnsi" w:hAnsiTheme="minorHAnsi" w:cstheme="minorHAnsi"/>
                <w:color w:val="000000" w:themeColor="text1"/>
                <w:szCs w:val="20"/>
              </w:rPr>
              <w:t>GOODS SECTION A</w:t>
            </w:r>
          </w:p>
        </w:tc>
        <w:tc>
          <w:tcPr>
            <w:tcW w:w="1219" w:type="pct"/>
          </w:tcPr>
          <w:p w14:paraId="3D27FA06" w14:textId="77777777" w:rsidR="006B7B8E" w:rsidRPr="004537BE" w:rsidRDefault="006B7B8E" w:rsidP="008379FA">
            <w:pPr>
              <w:pStyle w:val="ListParagraph"/>
              <w:numPr>
                <w:ilvl w:val="0"/>
                <w:numId w:val="25"/>
              </w:numPr>
              <w:spacing w:after="0"/>
              <w:rPr>
                <w:rFonts w:asciiTheme="minorHAnsi" w:eastAsia="Arial" w:hAnsiTheme="minorHAnsi" w:cstheme="minorHAnsi"/>
                <w:color w:val="000000" w:themeColor="text1"/>
                <w:szCs w:val="20"/>
                <w:lang w:eastAsia="en-GB"/>
              </w:rPr>
            </w:pPr>
            <w:r w:rsidRPr="004537BE">
              <w:rPr>
                <w:rFonts w:asciiTheme="minorHAnsi" w:hAnsiTheme="minorHAnsi" w:cstheme="minorHAnsi"/>
                <w:color w:val="000000" w:themeColor="text1"/>
                <w:szCs w:val="20"/>
              </w:rPr>
              <w:t>129. Weighing machinery (excluding balances of a sensitivity of 5 cg or better), of tariff number 8423.10.00 purchased or imported by registered hospitals upon approval by the Cabinet Secretary responsible for matters relating to health.</w:t>
            </w:r>
          </w:p>
        </w:tc>
        <w:tc>
          <w:tcPr>
            <w:tcW w:w="1372" w:type="pct"/>
          </w:tcPr>
          <w:p w14:paraId="41AF8954" w14:textId="77777777" w:rsidR="006B7B8E" w:rsidRPr="004537BE" w:rsidRDefault="006B7B8E" w:rsidP="008379FA">
            <w:pPr>
              <w:pStyle w:val="ListParagraph"/>
              <w:widowControl w:val="0"/>
              <w:numPr>
                <w:ilvl w:val="0"/>
                <w:numId w:val="25"/>
              </w:numPr>
              <w:spacing w:after="0"/>
              <w:rPr>
                <w:rFonts w:asciiTheme="minorHAnsi" w:eastAsia="Arial" w:hAnsiTheme="minorHAnsi" w:cstheme="minorHAnsi"/>
                <w:color w:val="000000" w:themeColor="text1"/>
                <w:szCs w:val="20"/>
                <w:lang w:eastAsia="en-GB"/>
              </w:rPr>
            </w:pPr>
            <w:r w:rsidRPr="004537BE">
              <w:rPr>
                <w:rFonts w:asciiTheme="minorHAnsi" w:hAnsiTheme="minorHAnsi" w:cstheme="minorHAnsi"/>
                <w:color w:val="000000" w:themeColor="text1"/>
                <w:szCs w:val="20"/>
              </w:rPr>
              <w:t>129. Weighing machinery (excluding balances of a sensitivity of 5 cg or better), of tariff number 8423.10.00 purchased or imported by registered hospitals upon approval by the Cabinet Secretary responsible for matters relating to health in consultation with the Pharmacy and Poison Board.</w:t>
            </w:r>
          </w:p>
        </w:tc>
        <w:tc>
          <w:tcPr>
            <w:tcW w:w="1343" w:type="pct"/>
          </w:tcPr>
          <w:p w14:paraId="06342A7E" w14:textId="77777777" w:rsidR="006B7B8E" w:rsidRPr="004537BE" w:rsidRDefault="006B7B8E" w:rsidP="008379FA">
            <w:pPr>
              <w:pStyle w:val="ListParagraph"/>
              <w:widowControl w:val="0"/>
              <w:numPr>
                <w:ilvl w:val="0"/>
                <w:numId w:val="25"/>
              </w:numPr>
              <w:spacing w:before="240" w:after="0"/>
              <w:rPr>
                <w:rFonts w:asciiTheme="minorHAnsi" w:eastAsia="Arial" w:hAnsiTheme="minorHAnsi" w:cstheme="minorHAnsi"/>
                <w:bCs/>
                <w:color w:val="000000" w:themeColor="text1"/>
                <w:szCs w:val="20"/>
                <w:lang w:eastAsia="en-GB"/>
              </w:rPr>
            </w:pPr>
            <w:r w:rsidRPr="004537BE">
              <w:rPr>
                <w:rFonts w:asciiTheme="minorHAnsi" w:hAnsiTheme="minorHAnsi" w:cstheme="minorHAnsi"/>
                <w:color w:val="000000" w:themeColor="text1"/>
                <w:szCs w:val="20"/>
              </w:rPr>
              <w:t>Cap 244 mandates the Pharmacy and Poison Board the sole mandate to regulate including approval handling of health products and technologies in the country</w:t>
            </w:r>
          </w:p>
        </w:tc>
      </w:tr>
      <w:tr w:rsidR="006B7B8E" w:rsidRPr="004537BE" w14:paraId="40DECFDE" w14:textId="77777777" w:rsidTr="005C015F">
        <w:tc>
          <w:tcPr>
            <w:tcW w:w="151" w:type="pct"/>
          </w:tcPr>
          <w:p w14:paraId="6039A62D" w14:textId="77777777" w:rsidR="006B7B8E" w:rsidRPr="004537BE" w:rsidRDefault="006B7B8E" w:rsidP="005C015F">
            <w:pPr>
              <w:pStyle w:val="ListParagraph"/>
              <w:numPr>
                <w:ilvl w:val="0"/>
                <w:numId w:val="14"/>
              </w:numPr>
              <w:spacing w:after="0"/>
              <w:rPr>
                <w:rFonts w:asciiTheme="minorHAnsi" w:hAnsiTheme="minorHAnsi" w:cstheme="minorHAnsi"/>
                <w:bCs/>
                <w:color w:val="000000" w:themeColor="text1"/>
                <w:szCs w:val="20"/>
              </w:rPr>
            </w:pPr>
          </w:p>
        </w:tc>
        <w:tc>
          <w:tcPr>
            <w:tcW w:w="915" w:type="pct"/>
          </w:tcPr>
          <w:p w14:paraId="1EA8F0FB" w14:textId="77777777" w:rsidR="006B7B8E" w:rsidRPr="004537BE" w:rsidRDefault="006B7B8E" w:rsidP="008379FA">
            <w:pPr>
              <w:pStyle w:val="ListParagraph"/>
              <w:numPr>
                <w:ilvl w:val="0"/>
                <w:numId w:val="25"/>
              </w:numPr>
              <w:spacing w:after="0"/>
              <w:rPr>
                <w:rFonts w:asciiTheme="minorHAnsi" w:hAnsiTheme="minorHAnsi" w:cstheme="minorHAnsi"/>
                <w:bCs/>
                <w:color w:val="000000" w:themeColor="text1"/>
                <w:szCs w:val="20"/>
              </w:rPr>
            </w:pPr>
            <w:r w:rsidRPr="004537BE">
              <w:rPr>
                <w:rFonts w:asciiTheme="minorHAnsi" w:hAnsiTheme="minorHAnsi" w:cstheme="minorHAnsi"/>
                <w:bCs/>
                <w:color w:val="000000" w:themeColor="text1"/>
                <w:szCs w:val="20"/>
              </w:rPr>
              <w:t>Section 36 of the Finance Bill 2025.</w:t>
            </w:r>
          </w:p>
          <w:p w14:paraId="52317E7C" w14:textId="77777777" w:rsidR="006B7B8E" w:rsidRPr="004537BE" w:rsidRDefault="006B7B8E" w:rsidP="005C015F">
            <w:pPr>
              <w:rPr>
                <w:rFonts w:cstheme="minorHAnsi"/>
                <w:color w:val="000000" w:themeColor="text1"/>
                <w:sz w:val="20"/>
                <w:szCs w:val="20"/>
              </w:rPr>
            </w:pPr>
          </w:p>
          <w:p w14:paraId="4FCE48D1" w14:textId="77777777" w:rsidR="006B7B8E" w:rsidRPr="004537BE" w:rsidRDefault="006B7B8E" w:rsidP="008379FA">
            <w:pPr>
              <w:pStyle w:val="ListParagraph"/>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Amendment to Paragraph 109, Part 1 of the First Schedule Paragraph the First Schedule to the Value Added Tax Act.</w:t>
            </w:r>
          </w:p>
          <w:p w14:paraId="37CC57BD" w14:textId="77777777" w:rsidR="006B7B8E" w:rsidRPr="004537BE" w:rsidRDefault="006B7B8E" w:rsidP="005C015F">
            <w:pPr>
              <w:rPr>
                <w:rFonts w:cstheme="minorHAnsi"/>
                <w:color w:val="000000" w:themeColor="text1"/>
                <w:sz w:val="20"/>
                <w:szCs w:val="20"/>
              </w:rPr>
            </w:pPr>
          </w:p>
        </w:tc>
        <w:tc>
          <w:tcPr>
            <w:tcW w:w="1219" w:type="pct"/>
          </w:tcPr>
          <w:p w14:paraId="5950C475" w14:textId="77777777" w:rsidR="008379FA" w:rsidRPr="004537BE" w:rsidRDefault="006B7B8E" w:rsidP="005C015F">
            <w:pPr>
              <w:pStyle w:val="ListParagraph"/>
              <w:numPr>
                <w:ilvl w:val="0"/>
                <w:numId w:val="2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The amendment proposes a deletion of Paragraph 109, Part 1 of the First Schedule Paragraph the First Schedule which provides exemption on:</w:t>
            </w:r>
          </w:p>
          <w:p w14:paraId="74E75E79" w14:textId="77777777" w:rsidR="008379FA" w:rsidRPr="004537BE" w:rsidRDefault="008379FA" w:rsidP="008379FA">
            <w:pPr>
              <w:pStyle w:val="ListParagraph"/>
              <w:spacing w:after="0"/>
              <w:rPr>
                <w:rFonts w:asciiTheme="minorHAnsi" w:hAnsiTheme="minorHAnsi" w:cstheme="minorHAnsi"/>
                <w:color w:val="000000" w:themeColor="text1"/>
                <w:szCs w:val="20"/>
              </w:rPr>
            </w:pPr>
          </w:p>
          <w:p w14:paraId="77F4992C" w14:textId="0A8D9705" w:rsidR="006B7B8E" w:rsidRPr="004537BE" w:rsidRDefault="006B7B8E" w:rsidP="008379FA">
            <w:pPr>
              <w:pStyle w:val="ListParagraph"/>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(109) Goods imported or purchased locally for the direct and exclusive use in the construction of houses under an affordable housing scheme approved by the Cabinet Secretary on the recommendation of the </w:t>
            </w:r>
            <w:r w:rsidRPr="004537BE">
              <w:rPr>
                <w:rFonts w:asciiTheme="minorHAnsi" w:hAnsiTheme="minorHAnsi" w:cstheme="minorHAnsi"/>
                <w:color w:val="000000" w:themeColor="text1"/>
                <w:szCs w:val="20"/>
              </w:rPr>
              <w:lastRenderedPageBreak/>
              <w:t>Cabinet Secretary responsible for matters relating to housing.</w:t>
            </w:r>
          </w:p>
          <w:p w14:paraId="7DA52444" w14:textId="77777777" w:rsidR="006B7B8E" w:rsidRPr="004537BE" w:rsidRDefault="006B7B8E" w:rsidP="005C015F">
            <w:pPr>
              <w:rPr>
                <w:rFonts w:cstheme="minorHAnsi"/>
                <w:color w:val="000000" w:themeColor="text1"/>
                <w:sz w:val="20"/>
                <w:szCs w:val="20"/>
              </w:rPr>
            </w:pPr>
          </w:p>
        </w:tc>
        <w:tc>
          <w:tcPr>
            <w:tcW w:w="1372" w:type="pct"/>
          </w:tcPr>
          <w:p w14:paraId="1CE351E8" w14:textId="270BF210" w:rsidR="008625D4" w:rsidRPr="00DF1553" w:rsidRDefault="008625D4" w:rsidP="008379FA">
            <w:pPr>
              <w:pStyle w:val="ListParagraph"/>
              <w:numPr>
                <w:ilvl w:val="0"/>
                <w:numId w:val="26"/>
              </w:numPr>
              <w:spacing w:after="0"/>
              <w:rPr>
                <w:rFonts w:ascii="Calibri" w:hAnsi="Calibri" w:cs="Calibri"/>
                <w:color w:val="000000" w:themeColor="text1"/>
                <w:szCs w:val="20"/>
              </w:rPr>
            </w:pPr>
            <w:r w:rsidRPr="00DF1553">
              <w:rPr>
                <w:rFonts w:ascii="Calibri" w:hAnsi="Calibri" w:cs="Calibri"/>
                <w:szCs w:val="20"/>
              </w:rPr>
              <w:lastRenderedPageBreak/>
              <w:t>Amend Paragraph 109, Part I of the First Schedule to the VAT Act, 2013 to delete the current exemption and insert a zero-rating provision as follows:</w:t>
            </w:r>
            <w:r w:rsidRPr="00DF1553">
              <w:rPr>
                <w:rFonts w:ascii="Calibri" w:hAnsi="Calibri" w:cs="Calibri"/>
                <w:szCs w:val="20"/>
              </w:rPr>
              <w:br/>
            </w:r>
            <w:r w:rsidRPr="00DF1553">
              <w:rPr>
                <w:rFonts w:ascii="Calibri" w:hAnsi="Calibri" w:cs="Calibri"/>
                <w:szCs w:val="20"/>
              </w:rPr>
              <w:br/>
            </w:r>
            <w:r w:rsidRPr="00DF1553">
              <w:rPr>
                <w:rStyle w:val="Strong"/>
                <w:rFonts w:ascii="Calibri" w:hAnsi="Calibri" w:cs="Calibri"/>
                <w:szCs w:val="20"/>
              </w:rPr>
              <w:t xml:space="preserve">“109. Goods and services supplied directly and exclusively for use in the construction of housing units under an affordable housing scheme approved by the Cabinet Secretary responsible for Housing, subject to the recommendation of the Cabinet Secretary for Housing and approval by the Cabinet Secretary for the National </w:t>
            </w:r>
            <w:r w:rsidRPr="00DF1553">
              <w:rPr>
                <w:rStyle w:val="Strong"/>
                <w:rFonts w:ascii="Calibri" w:hAnsi="Calibri" w:cs="Calibri"/>
                <w:szCs w:val="20"/>
              </w:rPr>
              <w:lastRenderedPageBreak/>
              <w:t>Treasury, shall be zero-rated.”</w:t>
            </w:r>
            <w:r w:rsidRPr="00DF1553">
              <w:rPr>
                <w:rFonts w:ascii="Calibri" w:hAnsi="Calibri" w:cs="Calibri"/>
                <w:szCs w:val="20"/>
              </w:rPr>
              <w:br/>
            </w:r>
            <w:r w:rsidRPr="00DF1553">
              <w:rPr>
                <w:rFonts w:ascii="Calibri" w:hAnsi="Calibri" w:cs="Calibri"/>
                <w:szCs w:val="20"/>
              </w:rPr>
              <w:br/>
              <w:t>Include a transitional clause to deem prior approved exemptions as eligible for zero-rating going forward.</w:t>
            </w:r>
          </w:p>
          <w:p w14:paraId="436D4B80" w14:textId="6116482B" w:rsidR="006B7B8E" w:rsidRPr="00DF1553" w:rsidRDefault="006B7B8E" w:rsidP="008625D4">
            <w:pPr>
              <w:pStyle w:val="ListParagraph"/>
              <w:spacing w:after="0"/>
              <w:ind w:left="360"/>
              <w:rPr>
                <w:rFonts w:ascii="Calibri" w:hAnsi="Calibri" w:cs="Calibri"/>
                <w:color w:val="000000" w:themeColor="text1"/>
                <w:szCs w:val="20"/>
              </w:rPr>
            </w:pPr>
          </w:p>
        </w:tc>
        <w:tc>
          <w:tcPr>
            <w:tcW w:w="1343" w:type="pct"/>
          </w:tcPr>
          <w:p w14:paraId="6154E225" w14:textId="77777777" w:rsidR="00DF1553" w:rsidRPr="00DF1553" w:rsidRDefault="006B7B8E" w:rsidP="005C015F">
            <w:pPr>
              <w:pStyle w:val="NormalWeb"/>
              <w:numPr>
                <w:ilvl w:val="0"/>
                <w:numId w:val="26"/>
              </w:numPr>
              <w:spacing w:after="0"/>
              <w:rPr>
                <w:rFonts w:ascii="Calibri" w:hAnsi="Calibri" w:cs="Calibri"/>
                <w:color w:val="000000" w:themeColor="text1"/>
                <w:sz w:val="20"/>
                <w:szCs w:val="20"/>
              </w:rPr>
            </w:pPr>
            <w:r w:rsidRPr="00DF1553">
              <w:rPr>
                <w:rFonts w:ascii="Calibri" w:hAnsi="Calibri" w:cs="Calibri"/>
                <w:color w:val="000000" w:themeColor="text1"/>
                <w:sz w:val="20"/>
                <w:szCs w:val="20"/>
              </w:rPr>
              <w:lastRenderedPageBreak/>
              <w:t xml:space="preserve">Paragraph 109 should not be deleted as this would result in an increase on the cost of goods used in the construction of affordable housing.  The exemption should be retained to incentivize persons undertaking construction of affordable housing.  This will in turn incentive the final local consumers/purchases of the houses under the affordable housing scheme. </w:t>
            </w:r>
          </w:p>
          <w:p w14:paraId="5E4277FF" w14:textId="77777777" w:rsidR="006C0E4F" w:rsidRPr="006C0E4F" w:rsidRDefault="00DF1553" w:rsidP="005C015F">
            <w:pPr>
              <w:pStyle w:val="NormalWeb"/>
              <w:numPr>
                <w:ilvl w:val="0"/>
                <w:numId w:val="26"/>
              </w:numPr>
              <w:spacing w:after="0"/>
              <w:rPr>
                <w:rFonts w:ascii="Calibri" w:hAnsi="Calibri" w:cs="Calibri"/>
                <w:color w:val="000000" w:themeColor="text1"/>
                <w:sz w:val="20"/>
                <w:szCs w:val="20"/>
              </w:rPr>
            </w:pPr>
            <w:r w:rsidRPr="00DF1553">
              <w:rPr>
                <w:rStyle w:val="Strong"/>
                <w:rFonts w:ascii="Calibri" w:hAnsi="Calibri" w:cs="Calibri"/>
                <w:sz w:val="20"/>
                <w:szCs w:val="20"/>
              </w:rPr>
              <w:t>Zero-rating ensures input VAT is claimable</w:t>
            </w:r>
            <w:r w:rsidRPr="00DF1553">
              <w:rPr>
                <w:rFonts w:ascii="Calibri" w:hAnsi="Calibri" w:cs="Calibri"/>
                <w:sz w:val="20"/>
                <w:szCs w:val="20"/>
              </w:rPr>
              <w:t>, reducing the cost of construction and supporting affordability for end-</w:t>
            </w:r>
            <w:proofErr w:type="spellStart"/>
            <w:proofErr w:type="gramStart"/>
            <w:r w:rsidRPr="00DF1553">
              <w:rPr>
                <w:rFonts w:ascii="Calibri" w:hAnsi="Calibri" w:cs="Calibri"/>
                <w:sz w:val="20"/>
                <w:szCs w:val="20"/>
              </w:rPr>
              <w:t>users.</w:t>
            </w:r>
            <w:r w:rsidR="006C0E4F">
              <w:rPr>
                <w:rFonts w:ascii="Calibri" w:hAnsi="Calibri" w:cs="Calibri"/>
                <w:sz w:val="20"/>
                <w:szCs w:val="20"/>
              </w:rPr>
              <w:t>It</w:t>
            </w:r>
            <w:proofErr w:type="spellEnd"/>
            <w:proofErr w:type="gramEnd"/>
            <w:r w:rsidR="006C0E4F">
              <w:rPr>
                <w:rFonts w:ascii="Calibri" w:hAnsi="Calibri" w:cs="Calibri"/>
                <w:sz w:val="20"/>
                <w:szCs w:val="20"/>
              </w:rPr>
              <w:t xml:space="preserve"> </w:t>
            </w:r>
            <w:r w:rsidR="006C0E4F">
              <w:rPr>
                <w:rFonts w:ascii="Calibri" w:hAnsi="Calibri" w:cs="Calibri"/>
                <w:sz w:val="20"/>
                <w:szCs w:val="20"/>
              </w:rPr>
              <w:lastRenderedPageBreak/>
              <w:t xml:space="preserve">smoothens the compliance process across the supply chain. </w:t>
            </w:r>
            <w:r w:rsidRPr="00DF1553">
              <w:rPr>
                <w:rFonts w:ascii="Calibri" w:hAnsi="Calibri" w:cs="Calibri"/>
                <w:sz w:val="20"/>
                <w:szCs w:val="20"/>
              </w:rPr>
              <w:br/>
              <w:t xml:space="preserve"> </w:t>
            </w:r>
          </w:p>
          <w:p w14:paraId="2A374D1D" w14:textId="77777777" w:rsidR="006C0E4F" w:rsidRPr="006C0E4F" w:rsidRDefault="00DF1553" w:rsidP="005C015F">
            <w:pPr>
              <w:pStyle w:val="NormalWeb"/>
              <w:numPr>
                <w:ilvl w:val="0"/>
                <w:numId w:val="26"/>
              </w:numPr>
              <w:spacing w:after="0"/>
              <w:rPr>
                <w:rFonts w:ascii="Calibri" w:hAnsi="Calibri" w:cs="Calibri"/>
                <w:color w:val="000000" w:themeColor="text1"/>
                <w:sz w:val="20"/>
                <w:szCs w:val="20"/>
              </w:rPr>
            </w:pPr>
            <w:r w:rsidRPr="00DF1553">
              <w:rPr>
                <w:rFonts w:ascii="Calibri" w:hAnsi="Calibri" w:cs="Calibri"/>
                <w:sz w:val="20"/>
                <w:szCs w:val="20"/>
              </w:rPr>
              <w:t xml:space="preserve">Encourages </w:t>
            </w:r>
            <w:r w:rsidRPr="00DF1553">
              <w:rPr>
                <w:rStyle w:val="Strong"/>
                <w:rFonts w:ascii="Calibri" w:hAnsi="Calibri" w:cs="Calibri"/>
                <w:sz w:val="20"/>
                <w:szCs w:val="20"/>
              </w:rPr>
              <w:t>investment and participation</w:t>
            </w:r>
            <w:r w:rsidRPr="00DF1553">
              <w:rPr>
                <w:rFonts w:ascii="Calibri" w:hAnsi="Calibri" w:cs="Calibri"/>
                <w:sz w:val="20"/>
                <w:szCs w:val="20"/>
              </w:rPr>
              <w:t xml:space="preserve"> by private developers, suppliers, and contractors in the housing value chain.</w:t>
            </w:r>
            <w:r w:rsidRPr="00DF1553">
              <w:rPr>
                <w:rFonts w:ascii="Calibri" w:hAnsi="Calibri" w:cs="Calibri"/>
                <w:sz w:val="20"/>
                <w:szCs w:val="20"/>
              </w:rPr>
              <w:br/>
            </w:r>
          </w:p>
          <w:p w14:paraId="3DB46643" w14:textId="77777777" w:rsidR="006C0E4F" w:rsidRPr="006C0E4F" w:rsidRDefault="00DF1553" w:rsidP="005C015F">
            <w:pPr>
              <w:pStyle w:val="NormalWeb"/>
              <w:numPr>
                <w:ilvl w:val="0"/>
                <w:numId w:val="26"/>
              </w:numPr>
              <w:spacing w:after="0"/>
              <w:rPr>
                <w:rFonts w:ascii="Calibri" w:hAnsi="Calibri" w:cs="Calibri"/>
                <w:color w:val="000000" w:themeColor="text1"/>
                <w:sz w:val="20"/>
                <w:szCs w:val="20"/>
              </w:rPr>
            </w:pPr>
            <w:r w:rsidRPr="00DF1553">
              <w:rPr>
                <w:rFonts w:ascii="Calibri" w:hAnsi="Calibri" w:cs="Calibri"/>
                <w:sz w:val="20"/>
                <w:szCs w:val="20"/>
              </w:rPr>
              <w:t xml:space="preserve">Aligns with Kenya’s </w:t>
            </w:r>
            <w:r w:rsidRPr="00DF1553">
              <w:rPr>
                <w:rStyle w:val="Strong"/>
                <w:rFonts w:ascii="Calibri" w:hAnsi="Calibri" w:cs="Calibri"/>
                <w:sz w:val="20"/>
                <w:szCs w:val="20"/>
              </w:rPr>
              <w:t>BETA Plan</w:t>
            </w:r>
            <w:r w:rsidRPr="00DF1553">
              <w:rPr>
                <w:rFonts w:ascii="Calibri" w:hAnsi="Calibri" w:cs="Calibri"/>
                <w:sz w:val="20"/>
                <w:szCs w:val="20"/>
              </w:rPr>
              <w:t xml:space="preserve"> and the government’s flagship Affordable Housing Programme.</w:t>
            </w:r>
            <w:r w:rsidRPr="00DF1553">
              <w:rPr>
                <w:rFonts w:ascii="Calibri" w:hAnsi="Calibri" w:cs="Calibri"/>
                <w:sz w:val="20"/>
                <w:szCs w:val="20"/>
              </w:rPr>
              <w:br/>
            </w:r>
          </w:p>
          <w:p w14:paraId="3B84B6BD" w14:textId="77777777" w:rsidR="006C0E4F" w:rsidRPr="006C0E4F" w:rsidRDefault="00DF1553" w:rsidP="005C015F">
            <w:pPr>
              <w:pStyle w:val="NormalWeb"/>
              <w:numPr>
                <w:ilvl w:val="0"/>
                <w:numId w:val="26"/>
              </w:numPr>
              <w:spacing w:after="0"/>
              <w:rPr>
                <w:rFonts w:ascii="Calibri" w:hAnsi="Calibri" w:cs="Calibri"/>
                <w:color w:val="000000" w:themeColor="text1"/>
                <w:sz w:val="20"/>
                <w:szCs w:val="20"/>
              </w:rPr>
            </w:pPr>
            <w:r w:rsidRPr="00DF1553">
              <w:rPr>
                <w:rFonts w:ascii="Calibri" w:hAnsi="Calibri" w:cs="Calibri"/>
                <w:sz w:val="20"/>
                <w:szCs w:val="20"/>
              </w:rPr>
              <w:t xml:space="preserve">Promotes </w:t>
            </w:r>
            <w:r w:rsidRPr="00DF1553">
              <w:rPr>
                <w:rStyle w:val="Strong"/>
                <w:rFonts w:ascii="Calibri" w:hAnsi="Calibri" w:cs="Calibri"/>
                <w:sz w:val="20"/>
                <w:szCs w:val="20"/>
              </w:rPr>
              <w:t>predictability, transparency, and efficiency</w:t>
            </w:r>
            <w:r w:rsidRPr="00DF1553">
              <w:rPr>
                <w:rFonts w:ascii="Calibri" w:hAnsi="Calibri" w:cs="Calibri"/>
                <w:sz w:val="20"/>
                <w:szCs w:val="20"/>
              </w:rPr>
              <w:t xml:space="preserve"> in tax treatment of public interest projects.</w:t>
            </w:r>
            <w:r w:rsidRPr="00DF1553">
              <w:rPr>
                <w:rFonts w:ascii="Calibri" w:hAnsi="Calibri" w:cs="Calibri"/>
                <w:sz w:val="20"/>
                <w:szCs w:val="20"/>
              </w:rPr>
              <w:br/>
            </w:r>
          </w:p>
          <w:p w14:paraId="317E83D3" w14:textId="77777777" w:rsidR="006C0E4F" w:rsidRPr="006C0E4F" w:rsidRDefault="00DF1553" w:rsidP="005C015F">
            <w:pPr>
              <w:pStyle w:val="NormalWeb"/>
              <w:numPr>
                <w:ilvl w:val="0"/>
                <w:numId w:val="26"/>
              </w:numPr>
              <w:spacing w:after="0"/>
              <w:rPr>
                <w:rFonts w:ascii="Calibri" w:hAnsi="Calibri" w:cs="Calibri"/>
                <w:color w:val="000000" w:themeColor="text1"/>
                <w:sz w:val="20"/>
                <w:szCs w:val="20"/>
              </w:rPr>
            </w:pPr>
            <w:r w:rsidRPr="00DF1553">
              <w:rPr>
                <w:rFonts w:ascii="Calibri" w:hAnsi="Calibri" w:cs="Calibri"/>
                <w:sz w:val="20"/>
                <w:szCs w:val="20"/>
              </w:rPr>
              <w:t xml:space="preserve">Ensures </w:t>
            </w:r>
            <w:r w:rsidRPr="00DF1553">
              <w:rPr>
                <w:rStyle w:val="Strong"/>
                <w:rFonts w:ascii="Calibri" w:hAnsi="Calibri" w:cs="Calibri"/>
                <w:sz w:val="20"/>
                <w:szCs w:val="20"/>
              </w:rPr>
              <w:t>better cash flow for contractors and developers</w:t>
            </w:r>
            <w:r w:rsidRPr="00DF1553">
              <w:rPr>
                <w:rFonts w:ascii="Calibri" w:hAnsi="Calibri" w:cs="Calibri"/>
                <w:sz w:val="20"/>
                <w:szCs w:val="20"/>
              </w:rPr>
              <w:t>, avoiding VAT lock-up and enabling reinvestment.</w:t>
            </w:r>
          </w:p>
          <w:p w14:paraId="4BCE3547" w14:textId="5D940719" w:rsidR="006B7B8E" w:rsidRPr="00DF1553" w:rsidRDefault="00DF1553" w:rsidP="005C015F">
            <w:pPr>
              <w:pStyle w:val="NormalWeb"/>
              <w:numPr>
                <w:ilvl w:val="0"/>
                <w:numId w:val="26"/>
              </w:numPr>
              <w:spacing w:after="0"/>
              <w:rPr>
                <w:rFonts w:ascii="Calibri" w:hAnsi="Calibri" w:cs="Calibri"/>
                <w:color w:val="000000" w:themeColor="text1"/>
                <w:sz w:val="20"/>
                <w:szCs w:val="20"/>
              </w:rPr>
            </w:pPr>
            <w:r w:rsidRPr="00DF1553">
              <w:rPr>
                <w:rFonts w:ascii="Calibri" w:hAnsi="Calibri" w:cs="Calibri"/>
                <w:sz w:val="20"/>
                <w:szCs w:val="20"/>
              </w:rPr>
              <w:t xml:space="preserve">Facilitates </w:t>
            </w:r>
            <w:r w:rsidRPr="00DF1553">
              <w:rPr>
                <w:rStyle w:val="Strong"/>
                <w:rFonts w:ascii="Calibri" w:hAnsi="Calibri" w:cs="Calibri"/>
                <w:sz w:val="20"/>
                <w:szCs w:val="20"/>
              </w:rPr>
              <w:t>compliance and audit trail</w:t>
            </w:r>
            <w:r w:rsidRPr="00DF1553">
              <w:rPr>
                <w:rFonts w:ascii="Calibri" w:hAnsi="Calibri" w:cs="Calibri"/>
                <w:sz w:val="20"/>
                <w:szCs w:val="20"/>
              </w:rPr>
              <w:t xml:space="preserve"> via </w:t>
            </w:r>
            <w:proofErr w:type="spellStart"/>
            <w:r w:rsidRPr="00DF1553">
              <w:rPr>
                <w:rFonts w:ascii="Calibri" w:hAnsi="Calibri" w:cs="Calibri"/>
                <w:sz w:val="20"/>
                <w:szCs w:val="20"/>
              </w:rPr>
              <w:t>eTIMS</w:t>
            </w:r>
            <w:proofErr w:type="spellEnd"/>
            <w:r w:rsidRPr="00DF1553">
              <w:rPr>
                <w:rFonts w:ascii="Calibri" w:hAnsi="Calibri" w:cs="Calibri"/>
                <w:sz w:val="20"/>
                <w:szCs w:val="20"/>
              </w:rPr>
              <w:t xml:space="preserve"> invoicing at zero-rated status, while still safeguarding revenue through project approval controls.</w:t>
            </w:r>
          </w:p>
        </w:tc>
      </w:tr>
      <w:tr w:rsidR="006B7B8E" w:rsidRPr="004537BE" w14:paraId="61277360" w14:textId="77777777" w:rsidTr="005C015F">
        <w:tc>
          <w:tcPr>
            <w:tcW w:w="151" w:type="pct"/>
          </w:tcPr>
          <w:p w14:paraId="3ED940C7" w14:textId="77777777" w:rsidR="006B7B8E" w:rsidRPr="004537BE" w:rsidRDefault="006B7B8E" w:rsidP="005C015F">
            <w:pPr>
              <w:pStyle w:val="ListParagraph"/>
              <w:numPr>
                <w:ilvl w:val="0"/>
                <w:numId w:val="14"/>
              </w:numPr>
              <w:spacing w:after="0"/>
              <w:rPr>
                <w:rFonts w:asciiTheme="minorHAnsi" w:hAnsiTheme="minorHAnsi" w:cstheme="minorHAnsi"/>
                <w:color w:val="000000" w:themeColor="text1"/>
                <w:szCs w:val="20"/>
              </w:rPr>
            </w:pPr>
          </w:p>
        </w:tc>
        <w:tc>
          <w:tcPr>
            <w:tcW w:w="915" w:type="pct"/>
          </w:tcPr>
          <w:p w14:paraId="2F96F6EC" w14:textId="77777777" w:rsidR="006B7B8E" w:rsidRPr="004537BE" w:rsidRDefault="006B7B8E" w:rsidP="008379FA">
            <w:pPr>
              <w:pStyle w:val="ListParagraph"/>
              <w:numPr>
                <w:ilvl w:val="0"/>
                <w:numId w:val="26"/>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Section 36 (o) and Section 37 (d) and (f) of the Finance Bill 2025</w:t>
            </w:r>
          </w:p>
          <w:p w14:paraId="4D8B9366" w14:textId="77777777" w:rsidR="006B7B8E" w:rsidRPr="004537BE" w:rsidRDefault="006B7B8E" w:rsidP="005C015F">
            <w:pPr>
              <w:rPr>
                <w:rFonts w:cstheme="minorHAnsi"/>
                <w:color w:val="000000" w:themeColor="text1"/>
                <w:sz w:val="20"/>
                <w:szCs w:val="20"/>
              </w:rPr>
            </w:pPr>
          </w:p>
          <w:p w14:paraId="7EA29DD2" w14:textId="77777777" w:rsidR="006B7B8E" w:rsidRPr="004537BE" w:rsidRDefault="006B7B8E" w:rsidP="008379FA">
            <w:pPr>
              <w:pStyle w:val="ListParagraph"/>
              <w:numPr>
                <w:ilvl w:val="0"/>
                <w:numId w:val="27"/>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Amendments to Paragraph 159 and 161 of Part A of the First Schedule </w:t>
            </w:r>
          </w:p>
          <w:p w14:paraId="3F8D8577" w14:textId="77777777" w:rsidR="006B7B8E" w:rsidRPr="004537BE" w:rsidRDefault="006B7B8E" w:rsidP="008379FA">
            <w:pPr>
              <w:pStyle w:val="ListParagraph"/>
              <w:numPr>
                <w:ilvl w:val="0"/>
                <w:numId w:val="27"/>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and Paragraph 30 and 32 of Part A of the Second Schedule</w:t>
            </w:r>
          </w:p>
          <w:p w14:paraId="3345E998" w14:textId="77777777" w:rsidR="006B7B8E" w:rsidRPr="004537BE" w:rsidRDefault="006B7B8E" w:rsidP="008379FA">
            <w:pPr>
              <w:pStyle w:val="ListParagraph"/>
              <w:numPr>
                <w:ilvl w:val="0"/>
                <w:numId w:val="27"/>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to the Value Added Tax Act.</w:t>
            </w:r>
          </w:p>
          <w:p w14:paraId="1C1F2B03" w14:textId="77777777" w:rsidR="006B7B8E" w:rsidRPr="004537BE" w:rsidRDefault="006B7B8E" w:rsidP="005C015F">
            <w:pPr>
              <w:rPr>
                <w:rFonts w:cstheme="minorHAnsi"/>
                <w:color w:val="000000" w:themeColor="text1"/>
                <w:sz w:val="20"/>
                <w:szCs w:val="20"/>
              </w:rPr>
            </w:pPr>
          </w:p>
        </w:tc>
        <w:tc>
          <w:tcPr>
            <w:tcW w:w="1219" w:type="pct"/>
          </w:tcPr>
          <w:p w14:paraId="72C1CDCE" w14:textId="77777777" w:rsidR="006B7B8E" w:rsidRPr="004537BE" w:rsidRDefault="006B7B8E" w:rsidP="008379FA">
            <w:pPr>
              <w:pStyle w:val="ListParagraph"/>
              <w:numPr>
                <w:ilvl w:val="0"/>
                <w:numId w:val="27"/>
              </w:numPr>
              <w:spacing w:after="0"/>
              <w:rPr>
                <w:rFonts w:asciiTheme="minorHAnsi" w:hAnsiTheme="minorHAnsi" w:cstheme="minorHAnsi"/>
                <w:color w:val="000000" w:themeColor="text1"/>
                <w:szCs w:val="20"/>
                <w:lang w:val="en-GB"/>
              </w:rPr>
            </w:pPr>
            <w:r w:rsidRPr="004537BE">
              <w:rPr>
                <w:rFonts w:asciiTheme="minorHAnsi" w:hAnsiTheme="minorHAnsi" w:cstheme="minorHAnsi"/>
                <w:bCs/>
                <w:color w:val="000000" w:themeColor="text1"/>
                <w:szCs w:val="20"/>
                <w:lang w:val="en-GB"/>
              </w:rPr>
              <w:lastRenderedPageBreak/>
              <w:t xml:space="preserve">36. </w:t>
            </w:r>
            <w:r w:rsidRPr="004537BE">
              <w:rPr>
                <w:rFonts w:asciiTheme="minorHAnsi" w:hAnsiTheme="minorHAnsi" w:cstheme="minorHAnsi"/>
                <w:color w:val="000000" w:themeColor="text1"/>
                <w:szCs w:val="20"/>
                <w:lang w:val="en-GB"/>
              </w:rPr>
              <w:t>Section A of Part I of the First Schedule to the Value Added Tax Act is amended—</w:t>
            </w:r>
          </w:p>
          <w:p w14:paraId="3DA47583" w14:textId="77777777" w:rsidR="008379FA" w:rsidRPr="004537BE" w:rsidRDefault="006B7B8E" w:rsidP="008379FA">
            <w:pPr>
              <w:ind w:left="360"/>
              <w:rPr>
                <w:rFonts w:cstheme="minorHAnsi"/>
                <w:color w:val="000000" w:themeColor="text1"/>
                <w:sz w:val="20"/>
                <w:szCs w:val="20"/>
                <w:lang w:val="en-GB"/>
              </w:rPr>
            </w:pPr>
            <w:r w:rsidRPr="004537BE">
              <w:rPr>
                <w:rFonts w:cstheme="minorHAnsi"/>
                <w:color w:val="000000" w:themeColor="text1"/>
                <w:sz w:val="20"/>
                <w:szCs w:val="20"/>
                <w:lang w:val="en-GB"/>
              </w:rPr>
              <w:t>(o) by inserting the following new paragraphs immediately after paragraph 154—</w:t>
            </w:r>
            <w:r w:rsidR="008379FA" w:rsidRPr="004537BE">
              <w:rPr>
                <w:rFonts w:cstheme="minorHAnsi"/>
                <w:color w:val="000000" w:themeColor="text1"/>
                <w:sz w:val="20"/>
                <w:szCs w:val="20"/>
                <w:lang w:val="en-GB"/>
              </w:rPr>
              <w:t xml:space="preserve"> </w:t>
            </w:r>
          </w:p>
          <w:p w14:paraId="1D4538B2" w14:textId="617AC355" w:rsidR="006B7B8E" w:rsidRPr="004537BE" w:rsidRDefault="006B7B8E" w:rsidP="008379FA">
            <w:pPr>
              <w:ind w:left="360"/>
              <w:rPr>
                <w:rFonts w:cstheme="minorHAnsi"/>
                <w:color w:val="000000" w:themeColor="text1"/>
                <w:sz w:val="20"/>
                <w:szCs w:val="20"/>
                <w:lang w:val="en-GB"/>
              </w:rPr>
            </w:pPr>
            <w:r w:rsidRPr="004537BE">
              <w:rPr>
                <w:rFonts w:cstheme="minorHAnsi"/>
                <w:color w:val="000000" w:themeColor="text1"/>
                <w:sz w:val="20"/>
                <w:szCs w:val="20"/>
                <w:lang w:val="en-GB"/>
              </w:rPr>
              <w:t>159. The supply of motorcycles of tariff heading 8711.60.00.</w:t>
            </w:r>
          </w:p>
          <w:p w14:paraId="039CD5BE" w14:textId="77777777" w:rsidR="006B7B8E" w:rsidRPr="004537BE" w:rsidRDefault="006B7B8E" w:rsidP="008379FA">
            <w:pPr>
              <w:ind w:left="360"/>
              <w:rPr>
                <w:rFonts w:cstheme="minorHAnsi"/>
                <w:color w:val="000000" w:themeColor="text1"/>
                <w:sz w:val="20"/>
                <w:szCs w:val="20"/>
                <w:lang w:val="en-GB"/>
              </w:rPr>
            </w:pPr>
            <w:r w:rsidRPr="004537BE">
              <w:rPr>
                <w:rFonts w:cstheme="minorHAnsi"/>
                <w:color w:val="000000" w:themeColor="text1"/>
                <w:sz w:val="20"/>
                <w:szCs w:val="20"/>
                <w:lang w:val="en-GB"/>
              </w:rPr>
              <w:lastRenderedPageBreak/>
              <w:t>161. The supply of solar and lithium ion batteries.</w:t>
            </w:r>
          </w:p>
          <w:p w14:paraId="32C07BAB" w14:textId="77777777" w:rsidR="006B7B8E" w:rsidRPr="004537BE" w:rsidRDefault="006B7B8E" w:rsidP="008379FA">
            <w:pPr>
              <w:rPr>
                <w:rFonts w:cstheme="minorHAnsi"/>
                <w:color w:val="000000" w:themeColor="text1"/>
                <w:sz w:val="20"/>
                <w:szCs w:val="20"/>
                <w:lang w:val="en-GB"/>
              </w:rPr>
            </w:pPr>
          </w:p>
          <w:p w14:paraId="447B69E2" w14:textId="77777777" w:rsidR="008379FA" w:rsidRPr="004537BE" w:rsidRDefault="006B7B8E" w:rsidP="008379FA">
            <w:pPr>
              <w:pStyle w:val="ListParagraph"/>
              <w:numPr>
                <w:ilvl w:val="0"/>
                <w:numId w:val="29"/>
              </w:numPr>
              <w:spacing w:after="0"/>
              <w:rPr>
                <w:rFonts w:asciiTheme="minorHAnsi" w:hAnsiTheme="minorHAnsi" w:cstheme="minorHAnsi"/>
                <w:color w:val="000000" w:themeColor="text1"/>
                <w:szCs w:val="20"/>
                <w:lang w:val="en-GB"/>
              </w:rPr>
            </w:pPr>
            <w:r w:rsidRPr="004537BE">
              <w:rPr>
                <w:rFonts w:asciiTheme="minorHAnsi" w:hAnsiTheme="minorHAnsi" w:cstheme="minorHAnsi"/>
                <w:bCs/>
                <w:color w:val="000000" w:themeColor="text1"/>
                <w:szCs w:val="20"/>
                <w:lang w:val="en-GB"/>
              </w:rPr>
              <w:t xml:space="preserve">37. </w:t>
            </w:r>
            <w:r w:rsidRPr="004537BE">
              <w:rPr>
                <w:rFonts w:asciiTheme="minorHAnsi" w:hAnsiTheme="minorHAnsi" w:cstheme="minorHAnsi"/>
                <w:color w:val="000000" w:themeColor="text1"/>
                <w:szCs w:val="20"/>
                <w:lang w:val="en-GB"/>
              </w:rPr>
              <w:t>The Second Schedule to the Value Added Tax Act is amended in Part A—</w:t>
            </w:r>
          </w:p>
          <w:p w14:paraId="52096ED7" w14:textId="4DDA11E0" w:rsidR="006B7B8E" w:rsidRPr="004537BE" w:rsidRDefault="006B7B8E" w:rsidP="008379FA">
            <w:pPr>
              <w:pStyle w:val="ListParagraph"/>
              <w:spacing w:after="0"/>
              <w:rPr>
                <w:rFonts w:asciiTheme="minorHAnsi" w:hAnsiTheme="minorHAnsi" w:cstheme="minorHAnsi"/>
                <w:color w:val="000000" w:themeColor="text1"/>
                <w:szCs w:val="20"/>
                <w:lang w:val="en-GB"/>
              </w:rPr>
            </w:pPr>
            <w:r w:rsidRPr="004537BE">
              <w:rPr>
                <w:rFonts w:asciiTheme="minorHAnsi" w:hAnsiTheme="minorHAnsi" w:cstheme="minorHAnsi"/>
                <w:color w:val="000000" w:themeColor="text1"/>
                <w:szCs w:val="20"/>
                <w:lang w:val="en-GB"/>
              </w:rPr>
              <w:t>(d) by deleting paragraph 30;</w:t>
            </w:r>
            <w:r w:rsidR="008379FA" w:rsidRPr="004537BE">
              <w:rPr>
                <w:rFonts w:asciiTheme="minorHAnsi" w:hAnsiTheme="minorHAnsi" w:cstheme="minorHAnsi"/>
                <w:color w:val="000000" w:themeColor="text1"/>
                <w:szCs w:val="20"/>
                <w:lang w:val="en-GB"/>
              </w:rPr>
              <w:t xml:space="preserve"> </w:t>
            </w:r>
            <w:r w:rsidRPr="004537BE">
              <w:rPr>
                <w:rFonts w:asciiTheme="minorHAnsi" w:hAnsiTheme="minorHAnsi" w:cstheme="minorHAnsi"/>
                <w:color w:val="000000" w:themeColor="text1"/>
                <w:szCs w:val="20"/>
                <w:lang w:val="en-GB"/>
              </w:rPr>
              <w:t>(f) by deleting paragraph 32;</w:t>
            </w:r>
          </w:p>
          <w:p w14:paraId="4EEE1A60" w14:textId="77777777" w:rsidR="006B7B8E" w:rsidRPr="004537BE" w:rsidRDefault="006B7B8E" w:rsidP="008379FA">
            <w:pPr>
              <w:rPr>
                <w:rFonts w:cstheme="minorHAnsi"/>
                <w:color w:val="000000" w:themeColor="text1"/>
                <w:sz w:val="20"/>
                <w:szCs w:val="20"/>
              </w:rPr>
            </w:pPr>
          </w:p>
        </w:tc>
        <w:tc>
          <w:tcPr>
            <w:tcW w:w="1372" w:type="pct"/>
          </w:tcPr>
          <w:p w14:paraId="1F76C0C6" w14:textId="610DBDDF" w:rsidR="006B7B8E" w:rsidRPr="004537BE" w:rsidRDefault="008379FA" w:rsidP="005C015F">
            <w:pPr>
              <w:pStyle w:val="ListParagraph"/>
              <w:numPr>
                <w:ilvl w:val="0"/>
                <w:numId w:val="6"/>
              </w:numPr>
              <w:spacing w:before="0"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B</w:t>
            </w:r>
            <w:r w:rsidR="006B7B8E" w:rsidRPr="004537BE">
              <w:rPr>
                <w:rFonts w:asciiTheme="minorHAnsi" w:hAnsiTheme="minorHAnsi" w:cstheme="minorHAnsi"/>
                <w:color w:val="000000" w:themeColor="text1"/>
                <w:szCs w:val="20"/>
              </w:rPr>
              <w:t>y deleting the proposed paragraph (159) appearing in Section 36(o) of the Finance Bill</w:t>
            </w:r>
          </w:p>
          <w:p w14:paraId="29CE34FD" w14:textId="3796F124" w:rsidR="006B7B8E" w:rsidRPr="004537BE" w:rsidRDefault="008379FA" w:rsidP="005C015F">
            <w:pPr>
              <w:pStyle w:val="ListParagraph"/>
              <w:numPr>
                <w:ilvl w:val="0"/>
                <w:numId w:val="6"/>
              </w:numPr>
              <w:spacing w:before="0"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B</w:t>
            </w:r>
            <w:r w:rsidR="006B7B8E" w:rsidRPr="004537BE">
              <w:rPr>
                <w:rFonts w:asciiTheme="minorHAnsi" w:hAnsiTheme="minorHAnsi" w:cstheme="minorHAnsi"/>
                <w:color w:val="000000" w:themeColor="text1"/>
                <w:szCs w:val="20"/>
              </w:rPr>
              <w:t>y deleting the proposed paragraph (161) appearing in Section 36(o) of the Finance Bill</w:t>
            </w:r>
          </w:p>
          <w:p w14:paraId="66D38535" w14:textId="07782A73" w:rsidR="006B7B8E" w:rsidRPr="004537BE" w:rsidRDefault="008379FA" w:rsidP="005C015F">
            <w:pPr>
              <w:pStyle w:val="ListParagraph"/>
              <w:numPr>
                <w:ilvl w:val="0"/>
                <w:numId w:val="6"/>
              </w:numPr>
              <w:spacing w:before="0"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B</w:t>
            </w:r>
            <w:r w:rsidR="006B7B8E" w:rsidRPr="004537BE">
              <w:rPr>
                <w:rFonts w:asciiTheme="minorHAnsi" w:hAnsiTheme="minorHAnsi" w:cstheme="minorHAnsi"/>
                <w:color w:val="000000" w:themeColor="text1"/>
                <w:szCs w:val="20"/>
              </w:rPr>
              <w:t xml:space="preserve">y deleting the proposed amendment in Section 37(d) of the Finance Bill </w:t>
            </w:r>
          </w:p>
          <w:p w14:paraId="5BAA1E0A" w14:textId="4E477941" w:rsidR="006B7B8E" w:rsidRPr="004537BE" w:rsidRDefault="008379FA" w:rsidP="005C015F">
            <w:pPr>
              <w:pStyle w:val="ListParagraph"/>
              <w:numPr>
                <w:ilvl w:val="0"/>
                <w:numId w:val="6"/>
              </w:numPr>
              <w:spacing w:before="0"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B</w:t>
            </w:r>
            <w:r w:rsidR="006B7B8E" w:rsidRPr="004537BE">
              <w:rPr>
                <w:rFonts w:asciiTheme="minorHAnsi" w:hAnsiTheme="minorHAnsi" w:cstheme="minorHAnsi"/>
                <w:color w:val="000000" w:themeColor="text1"/>
                <w:szCs w:val="20"/>
              </w:rPr>
              <w:t xml:space="preserve">y deleting the proposed amendment in Section 37(f) of the Finance Bill </w:t>
            </w:r>
          </w:p>
          <w:p w14:paraId="284F5308" w14:textId="77777777" w:rsidR="006B7B8E" w:rsidRPr="004537BE" w:rsidRDefault="006B7B8E" w:rsidP="005C015F">
            <w:pPr>
              <w:rPr>
                <w:rFonts w:cstheme="minorHAnsi"/>
                <w:color w:val="000000" w:themeColor="text1"/>
                <w:sz w:val="20"/>
                <w:szCs w:val="20"/>
              </w:rPr>
            </w:pPr>
          </w:p>
          <w:p w14:paraId="063114E1" w14:textId="77777777" w:rsidR="006B7B8E" w:rsidRPr="004537BE" w:rsidRDefault="006B7B8E" w:rsidP="005C015F">
            <w:pPr>
              <w:rPr>
                <w:rFonts w:cstheme="minorHAnsi"/>
                <w:color w:val="000000" w:themeColor="text1"/>
                <w:sz w:val="20"/>
                <w:szCs w:val="20"/>
                <w:lang w:val="en-GB"/>
              </w:rPr>
            </w:pPr>
          </w:p>
        </w:tc>
        <w:tc>
          <w:tcPr>
            <w:tcW w:w="1343" w:type="pct"/>
          </w:tcPr>
          <w:p w14:paraId="3D7BAB4D" w14:textId="77777777" w:rsidR="008379FA" w:rsidRPr="004537BE" w:rsidRDefault="006B7B8E" w:rsidP="005C015F">
            <w:pPr>
              <w:pStyle w:val="ListParagraph"/>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 xml:space="preserve">The proposed amendment as it stands would result in entities operating in e-mobility space and other entities aligned with reduction of carbon emissions absorbing the VAT costs of their inputs or passing the cost onto their customers thus making the </w:t>
            </w:r>
            <w:r w:rsidRPr="004537BE">
              <w:rPr>
                <w:rFonts w:asciiTheme="minorHAnsi" w:hAnsiTheme="minorHAnsi" w:cstheme="minorHAnsi"/>
                <w:color w:val="000000" w:themeColor="text1"/>
                <w:szCs w:val="20"/>
              </w:rPr>
              <w:lastRenderedPageBreak/>
              <w:t>electric bikes or mobility options uncompetitive and reducing their uptake.</w:t>
            </w:r>
          </w:p>
          <w:p w14:paraId="36B99DC6" w14:textId="77777777" w:rsidR="008379FA" w:rsidRPr="004537BE" w:rsidRDefault="008379FA" w:rsidP="008379FA">
            <w:pPr>
              <w:pStyle w:val="ListParagraph"/>
              <w:spacing w:after="0"/>
              <w:rPr>
                <w:rFonts w:asciiTheme="minorHAnsi" w:hAnsiTheme="minorHAnsi" w:cstheme="minorHAnsi"/>
                <w:color w:val="000000" w:themeColor="text1"/>
                <w:szCs w:val="20"/>
              </w:rPr>
            </w:pPr>
          </w:p>
          <w:p w14:paraId="312C62CB" w14:textId="4C676C7C" w:rsidR="006B7B8E" w:rsidRPr="004537BE" w:rsidRDefault="006B7B8E" w:rsidP="005C015F">
            <w:pPr>
              <w:pStyle w:val="ListParagraph"/>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Applying VAT to this industry impedes the wider adoption of electric vehicles which is an important objective for the country to achieve its climate mitigation and adaptation goals.</w:t>
            </w:r>
          </w:p>
          <w:p w14:paraId="0ED6CA9C" w14:textId="77777777" w:rsidR="006B7B8E" w:rsidRPr="004537BE" w:rsidRDefault="006B7B8E" w:rsidP="005C015F">
            <w:pPr>
              <w:rPr>
                <w:rFonts w:cstheme="minorHAnsi"/>
                <w:color w:val="000000" w:themeColor="text1"/>
                <w:sz w:val="20"/>
                <w:szCs w:val="20"/>
              </w:rPr>
            </w:pPr>
          </w:p>
        </w:tc>
      </w:tr>
      <w:tr w:rsidR="006B7B8E" w:rsidRPr="004537BE" w14:paraId="30F10CC9" w14:textId="77777777" w:rsidTr="005C015F">
        <w:tc>
          <w:tcPr>
            <w:tcW w:w="151" w:type="pct"/>
          </w:tcPr>
          <w:p w14:paraId="41820643" w14:textId="77777777" w:rsidR="006B7B8E" w:rsidRPr="004537BE" w:rsidRDefault="006B7B8E" w:rsidP="005C015F">
            <w:pPr>
              <w:pStyle w:val="ListParagraph"/>
              <w:numPr>
                <w:ilvl w:val="0"/>
                <w:numId w:val="14"/>
              </w:numPr>
              <w:spacing w:after="0"/>
              <w:rPr>
                <w:rFonts w:asciiTheme="minorHAnsi" w:hAnsiTheme="minorHAnsi" w:cstheme="minorHAnsi"/>
                <w:color w:val="000000" w:themeColor="text1"/>
                <w:szCs w:val="20"/>
              </w:rPr>
            </w:pPr>
          </w:p>
        </w:tc>
        <w:tc>
          <w:tcPr>
            <w:tcW w:w="915" w:type="pct"/>
          </w:tcPr>
          <w:p w14:paraId="44A79A8C" w14:textId="77777777" w:rsidR="008379FA" w:rsidRPr="004537BE" w:rsidRDefault="006B7B8E" w:rsidP="005C015F">
            <w:pPr>
              <w:pStyle w:val="ListParagraph"/>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Section 37 (f) of the Finance Bill 2025</w:t>
            </w:r>
          </w:p>
          <w:p w14:paraId="4495ED12" w14:textId="7A70638A" w:rsidR="006B7B8E" w:rsidRPr="004537BE" w:rsidRDefault="006B7B8E" w:rsidP="005C015F">
            <w:pPr>
              <w:pStyle w:val="ListParagraph"/>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Amendment by deletion of Paragraph 32 of Part A of the Second Schedule to the Value Added Tax Act.</w:t>
            </w:r>
          </w:p>
          <w:p w14:paraId="46B492A5" w14:textId="77777777" w:rsidR="006B7B8E" w:rsidRPr="004537BE" w:rsidRDefault="006B7B8E" w:rsidP="005C015F">
            <w:pPr>
              <w:rPr>
                <w:rFonts w:cstheme="minorHAnsi"/>
                <w:color w:val="000000" w:themeColor="text1"/>
                <w:sz w:val="20"/>
                <w:szCs w:val="20"/>
              </w:rPr>
            </w:pPr>
          </w:p>
        </w:tc>
        <w:tc>
          <w:tcPr>
            <w:tcW w:w="1219" w:type="pct"/>
          </w:tcPr>
          <w:p w14:paraId="11998C69" w14:textId="77777777" w:rsidR="008379FA" w:rsidRPr="004537BE" w:rsidRDefault="006B7B8E" w:rsidP="005C015F">
            <w:pPr>
              <w:pStyle w:val="ListParagraph"/>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Paragraph 32 of Part A of the Second Schedule to the Value Added Tax Act provides for zero rating of:</w:t>
            </w:r>
          </w:p>
          <w:p w14:paraId="4F5E9A5E" w14:textId="17617A32" w:rsidR="006B7B8E" w:rsidRPr="004537BE" w:rsidRDefault="006B7B8E" w:rsidP="008379FA">
            <w:pPr>
              <w:pStyle w:val="ListParagraph"/>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32. The supply of solar and lithium ion batteries.</w:t>
            </w:r>
          </w:p>
          <w:p w14:paraId="7B54EBCD" w14:textId="77777777" w:rsidR="006B7B8E" w:rsidRPr="004537BE" w:rsidRDefault="006B7B8E" w:rsidP="005C015F">
            <w:pPr>
              <w:rPr>
                <w:rFonts w:cstheme="minorHAnsi"/>
                <w:color w:val="000000" w:themeColor="text1"/>
                <w:sz w:val="20"/>
                <w:szCs w:val="20"/>
              </w:rPr>
            </w:pPr>
          </w:p>
        </w:tc>
        <w:tc>
          <w:tcPr>
            <w:tcW w:w="1372" w:type="pct"/>
          </w:tcPr>
          <w:p w14:paraId="03E707A5" w14:textId="77777777" w:rsidR="006B7B8E" w:rsidRPr="004537BE" w:rsidRDefault="006B7B8E" w:rsidP="008379FA">
            <w:pPr>
              <w:pStyle w:val="ListParagraph"/>
              <w:numPr>
                <w:ilvl w:val="0"/>
                <w:numId w:val="28"/>
              </w:numPr>
              <w:spacing w:after="0"/>
              <w:rPr>
                <w:rFonts w:asciiTheme="minorHAnsi" w:hAnsiTheme="minorHAnsi" w:cstheme="minorHAnsi"/>
                <w:color w:val="000000" w:themeColor="text1"/>
                <w:szCs w:val="20"/>
                <w:lang w:val="en-GB"/>
              </w:rPr>
            </w:pPr>
            <w:r w:rsidRPr="004537BE">
              <w:rPr>
                <w:rFonts w:asciiTheme="minorHAnsi" w:hAnsiTheme="minorHAnsi" w:cstheme="minorHAnsi"/>
                <w:color w:val="000000" w:themeColor="text1"/>
                <w:szCs w:val="20"/>
                <w:lang w:val="en-GB"/>
              </w:rPr>
              <w:t>We propose retention of Paragraph 32 of Part A of the Second Schedule to the Value Added Tax Act and amendment of the paragraph by inserting the words “</w:t>
            </w:r>
            <w:r w:rsidRPr="004537BE">
              <w:rPr>
                <w:rFonts w:asciiTheme="minorHAnsi" w:hAnsiTheme="minorHAnsi" w:cstheme="minorHAnsi"/>
                <w:color w:val="000000" w:themeColor="text1"/>
                <w:szCs w:val="20"/>
              </w:rPr>
              <w:t xml:space="preserve">by way of sale, leasing, hiring, or swapping” after </w:t>
            </w:r>
            <w:r w:rsidRPr="004537BE">
              <w:rPr>
                <w:rFonts w:asciiTheme="minorHAnsi" w:hAnsiTheme="minorHAnsi" w:cstheme="minorHAnsi"/>
                <w:color w:val="000000" w:themeColor="text1"/>
                <w:szCs w:val="20"/>
                <w:lang w:val="en-GB"/>
              </w:rPr>
              <w:t>immediately after the words “The supply” in paragraph 32;</w:t>
            </w:r>
          </w:p>
          <w:p w14:paraId="511CF545" w14:textId="77777777" w:rsidR="006B7B8E" w:rsidRPr="004537BE" w:rsidRDefault="006B7B8E" w:rsidP="005C015F">
            <w:pPr>
              <w:rPr>
                <w:rFonts w:cstheme="minorHAnsi"/>
                <w:color w:val="000000" w:themeColor="text1"/>
                <w:sz w:val="20"/>
                <w:szCs w:val="20"/>
                <w:lang w:val="en-GB"/>
              </w:rPr>
            </w:pPr>
          </w:p>
          <w:p w14:paraId="5EFA37F9" w14:textId="77777777" w:rsidR="006B7B8E" w:rsidRPr="004537BE" w:rsidRDefault="006B7B8E" w:rsidP="005C015F">
            <w:pPr>
              <w:rPr>
                <w:rFonts w:cstheme="minorHAnsi"/>
                <w:color w:val="000000" w:themeColor="text1"/>
                <w:sz w:val="20"/>
                <w:szCs w:val="20"/>
                <w:lang w:val="en-GB"/>
              </w:rPr>
            </w:pPr>
            <w:r w:rsidRPr="004537BE">
              <w:rPr>
                <w:rFonts w:cstheme="minorHAnsi"/>
                <w:color w:val="000000" w:themeColor="text1"/>
                <w:sz w:val="20"/>
                <w:szCs w:val="20"/>
                <w:lang w:val="en-GB"/>
              </w:rPr>
              <w:t>The paragraph will read as follows:</w:t>
            </w:r>
          </w:p>
          <w:p w14:paraId="4042387A" w14:textId="77777777" w:rsidR="006B7B8E" w:rsidRPr="004537BE" w:rsidRDefault="006B7B8E" w:rsidP="005C015F">
            <w:pPr>
              <w:rPr>
                <w:rFonts w:cstheme="minorHAnsi"/>
                <w:color w:val="000000" w:themeColor="text1"/>
                <w:sz w:val="20"/>
                <w:szCs w:val="20"/>
                <w:lang w:val="en-GB"/>
              </w:rPr>
            </w:pPr>
          </w:p>
          <w:p w14:paraId="477D852C" w14:textId="77777777" w:rsidR="006B7B8E" w:rsidRPr="004537BE" w:rsidRDefault="006B7B8E" w:rsidP="008379FA">
            <w:pPr>
              <w:pStyle w:val="ListParagraph"/>
              <w:numPr>
                <w:ilvl w:val="0"/>
                <w:numId w:val="28"/>
              </w:numPr>
              <w:spacing w:after="0"/>
              <w:rPr>
                <w:rFonts w:asciiTheme="minorHAnsi" w:hAnsiTheme="minorHAnsi" w:cstheme="minorHAnsi"/>
                <w:color w:val="000000" w:themeColor="text1"/>
                <w:szCs w:val="20"/>
                <w:lang w:val="en-GB"/>
              </w:rPr>
            </w:pPr>
            <w:r w:rsidRPr="004537BE">
              <w:rPr>
                <w:rFonts w:asciiTheme="minorHAnsi" w:hAnsiTheme="minorHAnsi" w:cstheme="minorHAnsi"/>
                <w:color w:val="000000" w:themeColor="text1"/>
                <w:szCs w:val="20"/>
                <w:lang w:val="en-GB"/>
              </w:rPr>
              <w:t>32. The supply by way of sale, leasing, hiring, or swapping of solar and lithium ion batteries.</w:t>
            </w:r>
          </w:p>
          <w:p w14:paraId="356AD58E" w14:textId="77777777" w:rsidR="006B7B8E" w:rsidRPr="004537BE" w:rsidRDefault="006B7B8E" w:rsidP="005C015F">
            <w:pPr>
              <w:rPr>
                <w:rFonts w:cstheme="minorHAnsi"/>
                <w:color w:val="000000" w:themeColor="text1"/>
                <w:sz w:val="20"/>
                <w:szCs w:val="20"/>
                <w:lang w:val="en-GB"/>
              </w:rPr>
            </w:pPr>
          </w:p>
        </w:tc>
        <w:tc>
          <w:tcPr>
            <w:tcW w:w="1343" w:type="pct"/>
          </w:tcPr>
          <w:p w14:paraId="15F94787" w14:textId="77777777" w:rsidR="008379FA" w:rsidRPr="004537BE" w:rsidRDefault="006B7B8E" w:rsidP="005C015F">
            <w:pPr>
              <w:pStyle w:val="ListParagraph"/>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The proposed amendment to the Bill would extend the current zero-rating to include Battery as a Service (BaaS) business models where customers lease, swap or pay for access to battery power rather than purchasing batteries outright. </w:t>
            </w:r>
            <w:r w:rsidR="008379FA" w:rsidRPr="004537BE">
              <w:rPr>
                <w:rFonts w:asciiTheme="minorHAnsi" w:hAnsiTheme="minorHAnsi" w:cstheme="minorHAnsi"/>
                <w:color w:val="000000" w:themeColor="text1"/>
                <w:szCs w:val="20"/>
              </w:rPr>
              <w:t xml:space="preserve"> </w:t>
            </w:r>
            <w:r w:rsidRPr="004537BE">
              <w:rPr>
                <w:rFonts w:asciiTheme="minorHAnsi" w:hAnsiTheme="minorHAnsi" w:cstheme="minorHAnsi"/>
                <w:color w:val="000000" w:themeColor="text1"/>
                <w:szCs w:val="20"/>
              </w:rPr>
              <w:t>BaaS models help promote the wider adoption of electric vehicles by mitigating the high cost of lithium-ion batteries.</w:t>
            </w:r>
          </w:p>
          <w:p w14:paraId="130454B6" w14:textId="77777777" w:rsidR="008379FA" w:rsidRPr="004537BE" w:rsidRDefault="006B7B8E" w:rsidP="005C015F">
            <w:pPr>
              <w:pStyle w:val="ListParagraph"/>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Companies operating Baas models currently absorb the VAT cost as passing the cost onto their customers would make their service uncompetitive and reduce uptake of electric bikes.</w:t>
            </w:r>
          </w:p>
          <w:p w14:paraId="2F710556" w14:textId="1CEEDF97" w:rsidR="006B7B8E" w:rsidRPr="004537BE" w:rsidRDefault="006B7B8E" w:rsidP="005C015F">
            <w:pPr>
              <w:pStyle w:val="ListParagraph"/>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Applying VAT to BaaS models impedes the wider adoption of electric vehicles which is an important objective for Kenya to </w:t>
            </w:r>
            <w:r w:rsidRPr="004537BE">
              <w:rPr>
                <w:rFonts w:asciiTheme="minorHAnsi" w:hAnsiTheme="minorHAnsi" w:cstheme="minorHAnsi"/>
                <w:color w:val="000000" w:themeColor="text1"/>
                <w:szCs w:val="20"/>
              </w:rPr>
              <w:lastRenderedPageBreak/>
              <w:t>achieve its climate mitigation and adaptation goals.</w:t>
            </w:r>
          </w:p>
          <w:p w14:paraId="1DE68E62" w14:textId="77777777" w:rsidR="006B7B8E" w:rsidRPr="004537BE" w:rsidRDefault="006B7B8E" w:rsidP="005C015F">
            <w:pPr>
              <w:jc w:val="center"/>
              <w:rPr>
                <w:rFonts w:cstheme="minorHAnsi"/>
                <w:color w:val="000000" w:themeColor="text1"/>
                <w:sz w:val="20"/>
                <w:szCs w:val="20"/>
              </w:rPr>
            </w:pPr>
          </w:p>
        </w:tc>
      </w:tr>
      <w:tr w:rsidR="006B7B8E" w:rsidRPr="004537BE" w14:paraId="5362285B" w14:textId="77777777" w:rsidTr="005C015F">
        <w:tc>
          <w:tcPr>
            <w:tcW w:w="151" w:type="pct"/>
          </w:tcPr>
          <w:p w14:paraId="2A8443ED" w14:textId="77777777" w:rsidR="006B7B8E" w:rsidRPr="004537BE" w:rsidRDefault="006B7B8E" w:rsidP="005C015F">
            <w:pPr>
              <w:pStyle w:val="ListParagraph"/>
              <w:numPr>
                <w:ilvl w:val="0"/>
                <w:numId w:val="14"/>
              </w:numPr>
              <w:spacing w:after="0"/>
              <w:jc w:val="both"/>
              <w:rPr>
                <w:rFonts w:asciiTheme="minorHAnsi" w:hAnsiTheme="minorHAnsi" w:cstheme="minorHAnsi"/>
                <w:color w:val="000000" w:themeColor="text1"/>
                <w:szCs w:val="20"/>
              </w:rPr>
            </w:pPr>
          </w:p>
        </w:tc>
        <w:tc>
          <w:tcPr>
            <w:tcW w:w="915" w:type="pct"/>
          </w:tcPr>
          <w:p w14:paraId="676A4B7A" w14:textId="77777777" w:rsidR="004B58C3" w:rsidRPr="004537BE" w:rsidRDefault="006B7B8E" w:rsidP="005C015F">
            <w:pPr>
              <w:pStyle w:val="ListParagraph"/>
              <w:numPr>
                <w:ilvl w:val="0"/>
                <w:numId w:val="28"/>
              </w:numPr>
              <w:spacing w:after="0"/>
              <w:jc w:val="both"/>
              <w:rPr>
                <w:rFonts w:asciiTheme="minorHAnsi" w:eastAsia="Calibri" w:hAnsiTheme="minorHAnsi" w:cstheme="minorHAnsi"/>
                <w:color w:val="000000" w:themeColor="text1"/>
                <w:szCs w:val="20"/>
              </w:rPr>
            </w:pPr>
            <w:r w:rsidRPr="004537BE">
              <w:rPr>
                <w:rFonts w:asciiTheme="minorHAnsi" w:hAnsiTheme="minorHAnsi" w:cstheme="minorHAnsi"/>
                <w:color w:val="000000" w:themeColor="text1"/>
                <w:szCs w:val="20"/>
              </w:rPr>
              <w:t>New Provision for Inclusion to the Finance Bill 2025.</w:t>
            </w:r>
          </w:p>
          <w:p w14:paraId="36F71FE9" w14:textId="77777777" w:rsidR="004B58C3" w:rsidRPr="004537BE" w:rsidRDefault="004B58C3" w:rsidP="004B58C3">
            <w:pPr>
              <w:pStyle w:val="ListParagraph"/>
              <w:spacing w:after="0"/>
              <w:jc w:val="both"/>
              <w:rPr>
                <w:rFonts w:asciiTheme="minorHAnsi" w:eastAsia="Arial" w:hAnsiTheme="minorHAnsi" w:cstheme="minorHAnsi"/>
                <w:color w:val="000000" w:themeColor="text1"/>
                <w:szCs w:val="20"/>
                <w:lang w:eastAsia="en-GB"/>
              </w:rPr>
            </w:pPr>
          </w:p>
          <w:p w14:paraId="2C5C1E52" w14:textId="73DE6C8C" w:rsidR="006B7B8E" w:rsidRPr="004537BE" w:rsidRDefault="006B7B8E" w:rsidP="004B58C3">
            <w:pPr>
              <w:pStyle w:val="ListParagraph"/>
              <w:spacing w:after="0"/>
              <w:jc w:val="both"/>
              <w:rPr>
                <w:rFonts w:asciiTheme="minorHAnsi" w:eastAsia="Calibri" w:hAnsiTheme="minorHAnsi" w:cstheme="minorHAnsi"/>
                <w:color w:val="000000" w:themeColor="text1"/>
                <w:szCs w:val="20"/>
              </w:rPr>
            </w:pPr>
            <w:r w:rsidRPr="004537BE">
              <w:rPr>
                <w:rFonts w:asciiTheme="minorHAnsi" w:eastAsia="Arial" w:hAnsiTheme="minorHAnsi" w:cstheme="minorHAnsi"/>
                <w:color w:val="000000" w:themeColor="text1"/>
                <w:szCs w:val="20"/>
                <w:lang w:eastAsia="en-GB"/>
              </w:rPr>
              <w:t>VAT exemption on inputs for manufacturing local of denatured bioethanol for cooking</w:t>
            </w:r>
          </w:p>
          <w:p w14:paraId="6503F612" w14:textId="77777777" w:rsidR="006B7B8E" w:rsidRPr="004537BE" w:rsidRDefault="006B7B8E" w:rsidP="005C015F">
            <w:pPr>
              <w:rPr>
                <w:rFonts w:eastAsia="Arial" w:cstheme="minorHAnsi"/>
                <w:color w:val="000000" w:themeColor="text1"/>
                <w:sz w:val="20"/>
                <w:szCs w:val="20"/>
                <w:lang w:eastAsia="en-GB"/>
              </w:rPr>
            </w:pPr>
          </w:p>
          <w:p w14:paraId="6403F8EA" w14:textId="77777777" w:rsidR="006B7B8E" w:rsidRPr="004537BE" w:rsidRDefault="006B7B8E" w:rsidP="005C015F">
            <w:pPr>
              <w:rPr>
                <w:rFonts w:eastAsia="Arial" w:cstheme="minorHAnsi"/>
                <w:color w:val="000000" w:themeColor="text1"/>
                <w:sz w:val="20"/>
                <w:szCs w:val="20"/>
                <w:lang w:eastAsia="en-GB"/>
              </w:rPr>
            </w:pPr>
          </w:p>
        </w:tc>
        <w:tc>
          <w:tcPr>
            <w:tcW w:w="1219" w:type="pct"/>
          </w:tcPr>
          <w:p w14:paraId="18AA02BC" w14:textId="2B13B4F4" w:rsidR="004B58C3" w:rsidRPr="004537BE" w:rsidRDefault="006B7B8E" w:rsidP="005C015F">
            <w:pPr>
              <w:pStyle w:val="ListParagraph"/>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VAT Act 2013 provides a VAT exemption for “the supply of denatured ethanol of tariff number 2207.20.00.” This exemption has already resulted significant results to Kenyan households, </w:t>
            </w:r>
            <w:r w:rsidR="004B58C3" w:rsidRPr="004537BE">
              <w:rPr>
                <w:rFonts w:asciiTheme="minorHAnsi" w:hAnsiTheme="minorHAnsi" w:cstheme="minorHAnsi"/>
                <w:color w:val="000000" w:themeColor="text1"/>
                <w:szCs w:val="20"/>
              </w:rPr>
              <w:t>sugarcane farmers</w:t>
            </w:r>
            <w:r w:rsidRPr="004537BE">
              <w:rPr>
                <w:rFonts w:asciiTheme="minorHAnsi" w:hAnsiTheme="minorHAnsi" w:cstheme="minorHAnsi"/>
                <w:color w:val="000000" w:themeColor="text1"/>
                <w:szCs w:val="20"/>
              </w:rPr>
              <w:t xml:space="preserve">, and the nation as </w:t>
            </w:r>
            <w:proofErr w:type="gramStart"/>
            <w:r w:rsidRPr="004537BE">
              <w:rPr>
                <w:rFonts w:asciiTheme="minorHAnsi" w:hAnsiTheme="minorHAnsi" w:cstheme="minorHAnsi"/>
                <w:color w:val="000000" w:themeColor="text1"/>
                <w:szCs w:val="20"/>
              </w:rPr>
              <w:t>a  whole</w:t>
            </w:r>
            <w:proofErr w:type="gramEnd"/>
            <w:r w:rsidRPr="004537BE">
              <w:rPr>
                <w:rFonts w:asciiTheme="minorHAnsi" w:hAnsiTheme="minorHAnsi" w:cstheme="minorHAnsi"/>
                <w:color w:val="000000" w:themeColor="text1"/>
                <w:szCs w:val="20"/>
              </w:rPr>
              <w:t xml:space="preserve">. </w:t>
            </w:r>
          </w:p>
          <w:p w14:paraId="15AC6ED3" w14:textId="5A7D6C21" w:rsidR="006B7B8E" w:rsidRPr="004537BE" w:rsidRDefault="006B7B8E" w:rsidP="005C015F">
            <w:pPr>
              <w:pStyle w:val="ListParagraph"/>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However, additional major contributors to the cost of ethanol cooking fuel also include VAT on inputs used in the manufacture of denatured ethanol, including molasses, transport, and electricity. </w:t>
            </w:r>
          </w:p>
          <w:p w14:paraId="13245ED6" w14:textId="77777777" w:rsidR="006B7B8E" w:rsidRPr="004537BE" w:rsidRDefault="006B7B8E" w:rsidP="005C015F">
            <w:pPr>
              <w:rPr>
                <w:rFonts w:eastAsia="Arial" w:cstheme="minorHAnsi"/>
                <w:color w:val="000000" w:themeColor="text1"/>
                <w:sz w:val="20"/>
                <w:szCs w:val="20"/>
                <w:lang w:eastAsia="en-GB"/>
              </w:rPr>
            </w:pPr>
            <w:r w:rsidRPr="004537BE">
              <w:rPr>
                <w:rFonts w:cstheme="minorHAnsi"/>
                <w:color w:val="000000" w:themeColor="text1"/>
                <w:sz w:val="20"/>
                <w:szCs w:val="20"/>
              </w:rPr>
              <w:t>Because the output (denatured ethanol) is VAT exempt, but the inputs are non-exempt, local ethanol producers are disadvantage at a versus imported supply and are passing on the non-claimable portion of their input VAT as costs, which drives up the retail price of ethanol cooking fuel to Kenyan households.</w:t>
            </w:r>
          </w:p>
        </w:tc>
        <w:tc>
          <w:tcPr>
            <w:tcW w:w="1372" w:type="pct"/>
          </w:tcPr>
          <w:p w14:paraId="7556E479" w14:textId="77777777" w:rsidR="006B7B8E" w:rsidRPr="004537BE" w:rsidRDefault="006B7B8E" w:rsidP="004B58C3">
            <w:pPr>
              <w:pStyle w:val="ListParagraph"/>
              <w:widowControl w:val="0"/>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We propose to amend Part 1, Section A to the First Schedule of the VAT Act 2013 by inserting:</w:t>
            </w:r>
          </w:p>
          <w:p w14:paraId="787132EC" w14:textId="77777777" w:rsidR="004B58C3" w:rsidRPr="004537BE" w:rsidRDefault="004B58C3" w:rsidP="004B58C3">
            <w:pPr>
              <w:pStyle w:val="ListParagraph"/>
              <w:widowControl w:val="0"/>
              <w:spacing w:after="0"/>
              <w:rPr>
                <w:rFonts w:asciiTheme="minorHAnsi" w:hAnsiTheme="minorHAnsi" w:cstheme="minorHAnsi"/>
                <w:color w:val="000000" w:themeColor="text1"/>
                <w:szCs w:val="20"/>
              </w:rPr>
            </w:pPr>
          </w:p>
          <w:p w14:paraId="2187E0A8" w14:textId="65A7FBBB" w:rsidR="006B7B8E" w:rsidRPr="004537BE" w:rsidRDefault="006B7B8E" w:rsidP="004B58C3">
            <w:pPr>
              <w:pStyle w:val="ListParagraph"/>
              <w:widowControl w:val="0"/>
              <w:spacing w:after="0"/>
              <w:rPr>
                <w:rFonts w:asciiTheme="minorHAnsi" w:eastAsia="Arial" w:hAnsiTheme="minorHAnsi" w:cstheme="minorHAnsi"/>
                <w:color w:val="000000" w:themeColor="text1"/>
                <w:szCs w:val="20"/>
                <w:lang w:eastAsia="en-GB"/>
              </w:rPr>
            </w:pPr>
            <w:r w:rsidRPr="004537BE">
              <w:rPr>
                <w:rFonts w:asciiTheme="minorHAnsi" w:hAnsiTheme="minorHAnsi" w:cstheme="minorHAnsi"/>
                <w:color w:val="000000" w:themeColor="text1"/>
                <w:szCs w:val="20"/>
              </w:rPr>
              <w:t>“Inputs and raw materials locally purchased or imported for the manufacture of denatured bioethanol for cooking”</w:t>
            </w:r>
          </w:p>
        </w:tc>
        <w:tc>
          <w:tcPr>
            <w:tcW w:w="1343" w:type="pct"/>
          </w:tcPr>
          <w:p w14:paraId="2F104C6D" w14:textId="77777777" w:rsidR="004B58C3" w:rsidRPr="004537BE" w:rsidRDefault="006B7B8E" w:rsidP="005C015F">
            <w:pPr>
              <w:pStyle w:val="ListParagraph"/>
              <w:widowControl w:val="0"/>
              <w:numPr>
                <w:ilvl w:val="0"/>
                <w:numId w:val="28"/>
              </w:numPr>
              <w:spacing w:before="240" w:after="0"/>
              <w:jc w:val="both"/>
              <w:rPr>
                <w:rFonts w:asciiTheme="minorHAnsi" w:eastAsia="Arial" w:hAnsiTheme="minorHAnsi" w:cstheme="minorHAnsi"/>
                <w:bCs/>
                <w:color w:val="000000" w:themeColor="text1"/>
                <w:szCs w:val="20"/>
                <w:lang w:eastAsia="en-GB"/>
              </w:rPr>
            </w:pPr>
            <w:r w:rsidRPr="004537BE">
              <w:rPr>
                <w:rFonts w:asciiTheme="minorHAnsi" w:eastAsia="Arial" w:hAnsiTheme="minorHAnsi" w:cstheme="minorHAnsi"/>
                <w:bCs/>
                <w:color w:val="000000" w:themeColor="text1"/>
                <w:szCs w:val="20"/>
                <w:lang w:eastAsia="en-GB"/>
              </w:rPr>
              <w:t>In Kenya, the sugar and sugar by-products industries stand as fundamental pillars of the economy, contributing significantly to employment, rural development, and food security.</w:t>
            </w:r>
          </w:p>
          <w:p w14:paraId="78BEEEB0" w14:textId="77777777" w:rsidR="004B58C3" w:rsidRPr="004537BE" w:rsidRDefault="006B7B8E" w:rsidP="005C015F">
            <w:pPr>
              <w:pStyle w:val="ListParagraph"/>
              <w:widowControl w:val="0"/>
              <w:numPr>
                <w:ilvl w:val="0"/>
                <w:numId w:val="28"/>
              </w:numPr>
              <w:spacing w:before="240" w:after="0"/>
              <w:jc w:val="both"/>
              <w:rPr>
                <w:rFonts w:asciiTheme="minorHAnsi" w:eastAsia="Arial" w:hAnsiTheme="minorHAnsi" w:cstheme="minorHAnsi"/>
                <w:bCs/>
                <w:color w:val="000000" w:themeColor="text1"/>
                <w:szCs w:val="20"/>
                <w:lang w:eastAsia="en-GB"/>
              </w:rPr>
            </w:pPr>
            <w:r w:rsidRPr="004537BE">
              <w:rPr>
                <w:rFonts w:asciiTheme="minorHAnsi" w:eastAsia="Arial" w:hAnsiTheme="minorHAnsi" w:cstheme="minorHAnsi"/>
                <w:bCs/>
                <w:color w:val="000000" w:themeColor="text1"/>
                <w:szCs w:val="20"/>
                <w:lang w:eastAsia="en-GB"/>
              </w:rPr>
              <w:t xml:space="preserve">With a rich history dating back to the early 20th century, this sector plays a pivotal role by offering livelihoods to thousands of Kenyan families and addressing the nation's economic needs. Specifically focusing on deriving ethanol from sugarcane propels the growth of the </w:t>
            </w:r>
            <w:proofErr w:type="spellStart"/>
            <w:r w:rsidRPr="004537BE">
              <w:rPr>
                <w:rFonts w:asciiTheme="minorHAnsi" w:eastAsia="Arial" w:hAnsiTheme="minorHAnsi" w:cstheme="minorHAnsi"/>
                <w:bCs/>
                <w:color w:val="000000" w:themeColor="text1"/>
                <w:szCs w:val="20"/>
                <w:lang w:eastAsia="en-GB"/>
              </w:rPr>
              <w:t>agro</w:t>
            </w:r>
            <w:proofErr w:type="spellEnd"/>
            <w:r w:rsidRPr="004537BE">
              <w:rPr>
                <w:rFonts w:asciiTheme="minorHAnsi" w:eastAsia="Arial" w:hAnsiTheme="minorHAnsi" w:cstheme="minorHAnsi"/>
                <w:bCs/>
                <w:color w:val="000000" w:themeColor="text1"/>
                <w:szCs w:val="20"/>
                <w:lang w:eastAsia="en-GB"/>
              </w:rPr>
              <w:t xml:space="preserve">-processing sector, aligning with the East African Community's vision for value-addition within the community. This approach ensures a stable market for our sugar producers, contributing to the sustainability of the sugar industry and improving farmers' livelihoods. </w:t>
            </w:r>
          </w:p>
          <w:p w14:paraId="5EF76172" w14:textId="1F50C5BF" w:rsidR="006B7B8E" w:rsidRPr="004537BE" w:rsidRDefault="006B7B8E" w:rsidP="005C015F">
            <w:pPr>
              <w:pStyle w:val="ListParagraph"/>
              <w:widowControl w:val="0"/>
              <w:numPr>
                <w:ilvl w:val="0"/>
                <w:numId w:val="28"/>
              </w:numPr>
              <w:spacing w:before="240" w:after="0"/>
              <w:jc w:val="both"/>
              <w:rPr>
                <w:rFonts w:asciiTheme="minorHAnsi" w:eastAsia="Arial" w:hAnsiTheme="minorHAnsi" w:cstheme="minorHAnsi"/>
                <w:bCs/>
                <w:color w:val="000000" w:themeColor="text1"/>
                <w:szCs w:val="20"/>
                <w:lang w:eastAsia="en-GB"/>
              </w:rPr>
            </w:pPr>
            <w:r w:rsidRPr="004537BE">
              <w:rPr>
                <w:rFonts w:asciiTheme="minorHAnsi" w:eastAsia="Arial" w:hAnsiTheme="minorHAnsi" w:cstheme="minorHAnsi"/>
                <w:bCs/>
                <w:color w:val="000000" w:themeColor="text1"/>
                <w:szCs w:val="20"/>
                <w:lang w:eastAsia="en-GB"/>
              </w:rPr>
              <w:t xml:space="preserve">The extension of VAT exemption on inputs used in the production of denatured ethanol will support the growth of the local </w:t>
            </w:r>
            <w:proofErr w:type="spellStart"/>
            <w:r w:rsidRPr="004537BE">
              <w:rPr>
                <w:rFonts w:asciiTheme="minorHAnsi" w:eastAsia="Arial" w:hAnsiTheme="minorHAnsi" w:cstheme="minorHAnsi"/>
                <w:bCs/>
                <w:color w:val="000000" w:themeColor="text1"/>
                <w:szCs w:val="20"/>
                <w:lang w:eastAsia="en-GB"/>
              </w:rPr>
              <w:t>agro</w:t>
            </w:r>
            <w:proofErr w:type="spellEnd"/>
            <w:r w:rsidRPr="004537BE">
              <w:rPr>
                <w:rFonts w:asciiTheme="minorHAnsi" w:eastAsia="Arial" w:hAnsiTheme="minorHAnsi" w:cstheme="minorHAnsi"/>
                <w:bCs/>
                <w:color w:val="000000" w:themeColor="text1"/>
                <w:szCs w:val="20"/>
                <w:lang w:eastAsia="en-GB"/>
              </w:rPr>
              <w:t xml:space="preserve">-processing industry by allowing local producers to recover input VAT. This reduction in costs will improve the competitiveness of local ethanol cooking fuel and reduce the costs of </w:t>
            </w:r>
            <w:r w:rsidRPr="004537BE">
              <w:rPr>
                <w:rFonts w:asciiTheme="minorHAnsi" w:eastAsia="Arial" w:hAnsiTheme="minorHAnsi" w:cstheme="minorHAnsi"/>
                <w:bCs/>
                <w:color w:val="000000" w:themeColor="text1"/>
                <w:szCs w:val="20"/>
                <w:lang w:eastAsia="en-GB"/>
              </w:rPr>
              <w:lastRenderedPageBreak/>
              <w:t>ethanol cooking to Kenyan households, driving higher demand and achieving targets for the green energy transition set out in the Kenya National Cooking Transition Strategy.</w:t>
            </w:r>
          </w:p>
        </w:tc>
      </w:tr>
      <w:tr w:rsidR="006B7B8E" w:rsidRPr="004537BE" w14:paraId="75E7C7E6" w14:textId="77777777" w:rsidTr="005C015F">
        <w:tc>
          <w:tcPr>
            <w:tcW w:w="151" w:type="pct"/>
          </w:tcPr>
          <w:p w14:paraId="77B31202" w14:textId="77777777" w:rsidR="006B7B8E" w:rsidRPr="004537BE" w:rsidRDefault="006B7B8E" w:rsidP="005C015F">
            <w:pPr>
              <w:pStyle w:val="ListParagraph"/>
              <w:numPr>
                <w:ilvl w:val="0"/>
                <w:numId w:val="14"/>
              </w:numPr>
              <w:spacing w:after="0"/>
              <w:jc w:val="both"/>
              <w:rPr>
                <w:rFonts w:asciiTheme="minorHAnsi" w:hAnsiTheme="minorHAnsi" w:cstheme="minorHAnsi"/>
                <w:color w:val="000000" w:themeColor="text1"/>
                <w:szCs w:val="20"/>
              </w:rPr>
            </w:pPr>
          </w:p>
        </w:tc>
        <w:tc>
          <w:tcPr>
            <w:tcW w:w="915" w:type="pct"/>
          </w:tcPr>
          <w:p w14:paraId="1B3FB773" w14:textId="4C561822" w:rsidR="006B7B8E" w:rsidRPr="004537BE" w:rsidRDefault="006B7B8E" w:rsidP="005C015F">
            <w:pPr>
              <w:pStyle w:val="ListParagraph"/>
              <w:numPr>
                <w:ilvl w:val="0"/>
                <w:numId w:val="28"/>
              </w:numPr>
              <w:spacing w:after="0"/>
              <w:jc w:val="both"/>
              <w:rPr>
                <w:rFonts w:asciiTheme="minorHAnsi" w:eastAsia="Calibri" w:hAnsiTheme="minorHAnsi" w:cstheme="minorHAnsi"/>
                <w:color w:val="000000" w:themeColor="text1"/>
                <w:szCs w:val="20"/>
              </w:rPr>
            </w:pPr>
            <w:r w:rsidRPr="004537BE">
              <w:rPr>
                <w:rFonts w:asciiTheme="minorHAnsi" w:hAnsiTheme="minorHAnsi" w:cstheme="minorHAnsi"/>
                <w:color w:val="000000" w:themeColor="text1"/>
                <w:szCs w:val="20"/>
              </w:rPr>
              <w:t>New Provision for Inclusion to the Finance Bill 2025.</w:t>
            </w:r>
            <w:r w:rsidR="004B58C3" w:rsidRPr="004537BE">
              <w:rPr>
                <w:rFonts w:asciiTheme="minorHAnsi" w:hAnsiTheme="minorHAnsi" w:cstheme="minorHAnsi"/>
                <w:color w:val="000000" w:themeColor="text1"/>
                <w:szCs w:val="20"/>
              </w:rPr>
              <w:t xml:space="preserve"> </w:t>
            </w:r>
            <w:r w:rsidRPr="004537BE">
              <w:rPr>
                <w:rFonts w:asciiTheme="minorHAnsi" w:hAnsiTheme="minorHAnsi" w:cstheme="minorHAnsi"/>
                <w:color w:val="000000" w:themeColor="text1"/>
                <w:szCs w:val="20"/>
              </w:rPr>
              <w:t xml:space="preserve">amendment </w:t>
            </w:r>
            <w:proofErr w:type="gramStart"/>
            <w:r w:rsidRPr="004537BE">
              <w:rPr>
                <w:rFonts w:asciiTheme="minorHAnsi" w:hAnsiTheme="minorHAnsi" w:cstheme="minorHAnsi"/>
                <w:color w:val="000000" w:themeColor="text1"/>
                <w:szCs w:val="20"/>
              </w:rPr>
              <w:t xml:space="preserve">of </w:t>
            </w:r>
            <w:r w:rsidR="004B58C3" w:rsidRPr="004537BE">
              <w:rPr>
                <w:rFonts w:asciiTheme="minorHAnsi" w:hAnsiTheme="minorHAnsi" w:cstheme="minorHAnsi"/>
                <w:color w:val="000000" w:themeColor="text1"/>
                <w:szCs w:val="20"/>
              </w:rPr>
              <w:t xml:space="preserve"> </w:t>
            </w:r>
            <w:r w:rsidRPr="004537BE">
              <w:rPr>
                <w:rFonts w:asciiTheme="minorHAnsi" w:hAnsiTheme="minorHAnsi" w:cstheme="minorHAnsi"/>
                <w:color w:val="000000" w:themeColor="text1"/>
                <w:szCs w:val="20"/>
              </w:rPr>
              <w:t>Section</w:t>
            </w:r>
            <w:proofErr w:type="gramEnd"/>
            <w:r w:rsidRPr="004537BE">
              <w:rPr>
                <w:rFonts w:asciiTheme="minorHAnsi" w:hAnsiTheme="minorHAnsi" w:cstheme="minorHAnsi"/>
                <w:color w:val="000000" w:themeColor="text1"/>
                <w:szCs w:val="20"/>
              </w:rPr>
              <w:t xml:space="preserve"> 36 (O) (155) PART III of Value Added Tax</w:t>
            </w:r>
          </w:p>
        </w:tc>
        <w:tc>
          <w:tcPr>
            <w:tcW w:w="1219" w:type="pct"/>
          </w:tcPr>
          <w:p w14:paraId="50FEBB46" w14:textId="77777777" w:rsidR="004B58C3" w:rsidRPr="004537BE" w:rsidRDefault="006B7B8E" w:rsidP="005C015F">
            <w:pPr>
              <w:pStyle w:val="ListParagraph"/>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VAT Act section 36 (o), 155. </w:t>
            </w:r>
          </w:p>
          <w:p w14:paraId="4D979541" w14:textId="735CFA64" w:rsidR="006B7B8E" w:rsidRPr="004537BE" w:rsidRDefault="006B7B8E" w:rsidP="004B58C3">
            <w:pPr>
              <w:pStyle w:val="ListParagraph"/>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‘Inputs or raw materials (either produced locally or imported) supplied to pharmaceutical manufacturers in Kenya for manufacturing medicaments as approved from time to time by the Cabinet Secretary in consultation with the Cabinet Secretary for the time being responsible for matters relating to health.’</w:t>
            </w:r>
          </w:p>
        </w:tc>
        <w:tc>
          <w:tcPr>
            <w:tcW w:w="1372" w:type="pct"/>
          </w:tcPr>
          <w:p w14:paraId="4EDB93A1" w14:textId="42514385" w:rsidR="006B7B8E" w:rsidRPr="004537BE" w:rsidRDefault="006B7B8E" w:rsidP="005C015F">
            <w:pPr>
              <w:pStyle w:val="ListParagraph"/>
              <w:widowControl w:val="0"/>
              <w:numPr>
                <w:ilvl w:val="0"/>
                <w:numId w:val="28"/>
              </w:numPr>
              <w:spacing w:after="0"/>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 xml:space="preserve">The section is amended to read ‘Inputs or raw materials (either produced locally or imported) supplied to pharmaceutical manufacturers in Kenya for manufacturing medicaments as </w:t>
            </w:r>
            <w:r w:rsidR="004B58C3" w:rsidRPr="004537BE">
              <w:rPr>
                <w:rFonts w:asciiTheme="minorHAnsi" w:hAnsiTheme="minorHAnsi" w:cstheme="minorHAnsi"/>
                <w:color w:val="000000" w:themeColor="text1"/>
                <w:szCs w:val="20"/>
              </w:rPr>
              <w:t xml:space="preserve"> </w:t>
            </w:r>
            <w:r w:rsidRPr="004537BE">
              <w:rPr>
                <w:rFonts w:asciiTheme="minorHAnsi" w:hAnsiTheme="minorHAnsi" w:cstheme="minorHAnsi"/>
                <w:color w:val="000000" w:themeColor="text1"/>
                <w:szCs w:val="20"/>
              </w:rPr>
              <w:t>approved from time to time by the Cabinet Secretary in consultation with the Cabinet Secretary for the time being responsible for matters relating to health in consultation with the Pharmacy and Poison Board for the time being responsible for matters relating to pharmaceutical, medical products and technologies</w:t>
            </w:r>
          </w:p>
          <w:p w14:paraId="58BB5D81" w14:textId="77777777" w:rsidR="006B7B8E" w:rsidRPr="004537BE" w:rsidRDefault="006B7B8E" w:rsidP="005C015F">
            <w:pPr>
              <w:widowControl w:val="0"/>
              <w:rPr>
                <w:rFonts w:eastAsia="Arial" w:cstheme="minorHAnsi"/>
                <w:color w:val="000000" w:themeColor="text1"/>
                <w:sz w:val="20"/>
                <w:szCs w:val="20"/>
                <w:lang w:eastAsia="en-GB"/>
              </w:rPr>
            </w:pPr>
          </w:p>
          <w:p w14:paraId="26FF0BC9" w14:textId="77777777" w:rsidR="006B7B8E" w:rsidRPr="004537BE" w:rsidRDefault="006B7B8E" w:rsidP="005C015F">
            <w:pPr>
              <w:widowControl w:val="0"/>
              <w:rPr>
                <w:rFonts w:eastAsia="Arial" w:cstheme="minorHAnsi"/>
                <w:color w:val="000000" w:themeColor="text1"/>
                <w:sz w:val="20"/>
                <w:szCs w:val="20"/>
                <w:lang w:eastAsia="en-GB"/>
              </w:rPr>
            </w:pPr>
          </w:p>
        </w:tc>
        <w:tc>
          <w:tcPr>
            <w:tcW w:w="1343" w:type="pct"/>
          </w:tcPr>
          <w:p w14:paraId="2173E368" w14:textId="77777777" w:rsidR="006B7B8E" w:rsidRPr="004537BE" w:rsidRDefault="006B7B8E" w:rsidP="004B58C3">
            <w:pPr>
              <w:pStyle w:val="ListParagraph"/>
              <w:widowControl w:val="0"/>
              <w:numPr>
                <w:ilvl w:val="0"/>
                <w:numId w:val="28"/>
              </w:numPr>
              <w:spacing w:before="240" w:after="0"/>
              <w:rPr>
                <w:rFonts w:asciiTheme="minorHAnsi" w:eastAsia="Arial" w:hAnsiTheme="minorHAnsi" w:cstheme="minorHAnsi"/>
                <w:bCs/>
                <w:color w:val="000000" w:themeColor="text1"/>
                <w:szCs w:val="20"/>
                <w:lang w:eastAsia="en-GB"/>
              </w:rPr>
            </w:pPr>
            <w:r w:rsidRPr="004537BE">
              <w:rPr>
                <w:rFonts w:asciiTheme="minorHAnsi" w:hAnsiTheme="minorHAnsi" w:cstheme="minorHAnsi"/>
                <w:color w:val="000000" w:themeColor="text1"/>
                <w:szCs w:val="20"/>
              </w:rPr>
              <w:t>Cap 244 mandates the Pharmacy and Poison Board the sole mandate to regulate including approval handling of raw material and medical products in the country</w:t>
            </w:r>
          </w:p>
        </w:tc>
      </w:tr>
      <w:tr w:rsidR="00F55741" w:rsidRPr="004537BE" w14:paraId="1C3BAED3" w14:textId="77777777" w:rsidTr="00F55741">
        <w:tc>
          <w:tcPr>
            <w:tcW w:w="5000" w:type="pct"/>
            <w:gridSpan w:val="5"/>
          </w:tcPr>
          <w:p w14:paraId="700573E3" w14:textId="16CAC170" w:rsidR="00F55741" w:rsidRPr="004537BE" w:rsidRDefault="00F55741" w:rsidP="00F55741">
            <w:pPr>
              <w:jc w:val="center"/>
              <w:rPr>
                <w:rFonts w:cstheme="minorHAnsi"/>
                <w:sz w:val="20"/>
                <w:szCs w:val="20"/>
              </w:rPr>
            </w:pPr>
            <w:r w:rsidRPr="004537BE">
              <w:rPr>
                <w:rFonts w:cstheme="minorHAnsi"/>
                <w:sz w:val="20"/>
                <w:szCs w:val="20"/>
                <w:lang w:val="en-US"/>
              </w:rPr>
              <w:t>TAX PROCEDURES ACT</w:t>
            </w:r>
          </w:p>
        </w:tc>
      </w:tr>
      <w:tr w:rsidR="00B41B54" w:rsidRPr="004537BE" w14:paraId="4E9724C8" w14:textId="77777777" w:rsidTr="005C015F">
        <w:tc>
          <w:tcPr>
            <w:tcW w:w="151" w:type="pct"/>
          </w:tcPr>
          <w:p w14:paraId="1B50390D" w14:textId="77777777" w:rsidR="00B41B54" w:rsidRPr="004537BE" w:rsidRDefault="00B41B54" w:rsidP="005C015F">
            <w:pPr>
              <w:pStyle w:val="ListParagraph"/>
              <w:numPr>
                <w:ilvl w:val="0"/>
                <w:numId w:val="14"/>
              </w:numPr>
              <w:spacing w:after="0"/>
              <w:rPr>
                <w:rFonts w:asciiTheme="minorHAnsi" w:hAnsiTheme="minorHAnsi" w:cstheme="minorHAnsi"/>
                <w:i/>
                <w:iCs/>
                <w:szCs w:val="20"/>
              </w:rPr>
            </w:pPr>
          </w:p>
        </w:tc>
        <w:tc>
          <w:tcPr>
            <w:tcW w:w="915" w:type="pct"/>
          </w:tcPr>
          <w:p w14:paraId="6FA96742" w14:textId="33A4F111" w:rsidR="00B41B54" w:rsidRPr="004537BE" w:rsidRDefault="00E1664A" w:rsidP="005C015F">
            <w:pPr>
              <w:pStyle w:val="ListParagraph"/>
              <w:numPr>
                <w:ilvl w:val="0"/>
                <w:numId w:val="30"/>
              </w:numPr>
              <w:spacing w:after="0"/>
              <w:rPr>
                <w:rFonts w:asciiTheme="minorHAnsi" w:hAnsiTheme="minorHAnsi" w:cstheme="minorHAnsi"/>
                <w:i/>
                <w:iCs/>
                <w:szCs w:val="20"/>
              </w:rPr>
            </w:pPr>
            <w:r w:rsidRPr="00E1664A">
              <w:rPr>
                <w:rFonts w:asciiTheme="minorHAnsi" w:hAnsiTheme="minorHAnsi" w:cstheme="minorHAnsi"/>
                <w:i/>
                <w:iCs/>
                <w:szCs w:val="20"/>
              </w:rPr>
              <w:t>New Provision for Inclusion to the Finance Bill 2025</w:t>
            </w:r>
          </w:p>
        </w:tc>
        <w:tc>
          <w:tcPr>
            <w:tcW w:w="1219" w:type="pct"/>
          </w:tcPr>
          <w:p w14:paraId="50EB5061" w14:textId="54370553" w:rsidR="00B41B54" w:rsidRPr="004537BE" w:rsidRDefault="00E1664A" w:rsidP="005C015F">
            <w:pPr>
              <w:pStyle w:val="ListParagraph"/>
              <w:numPr>
                <w:ilvl w:val="0"/>
                <w:numId w:val="30"/>
              </w:numPr>
              <w:spacing w:after="0"/>
              <w:rPr>
                <w:rFonts w:asciiTheme="minorHAnsi" w:hAnsiTheme="minorHAnsi" w:cstheme="minorHAnsi"/>
                <w:szCs w:val="20"/>
              </w:rPr>
            </w:pPr>
            <w:r>
              <w:t xml:space="preserve">Proposal to address VAT refund backlog by </w:t>
            </w:r>
            <w:proofErr w:type="spellStart"/>
            <w:r>
              <w:t>securitisation</w:t>
            </w:r>
            <w:proofErr w:type="spellEnd"/>
            <w:r>
              <w:t xml:space="preserve"> through issuance of a VAT Refund Bond, tradeable on the Nairobi Securities Exchange (NSE).</w:t>
            </w:r>
          </w:p>
        </w:tc>
        <w:tc>
          <w:tcPr>
            <w:tcW w:w="1372" w:type="pct"/>
          </w:tcPr>
          <w:p w14:paraId="6E776763" w14:textId="20BEE99D" w:rsidR="00B41B54" w:rsidRPr="004537BE" w:rsidRDefault="0025473F" w:rsidP="004B58C3">
            <w:pPr>
              <w:pStyle w:val="ListParagraph"/>
              <w:numPr>
                <w:ilvl w:val="0"/>
                <w:numId w:val="30"/>
              </w:numPr>
              <w:spacing w:after="0"/>
              <w:rPr>
                <w:rFonts w:asciiTheme="minorHAnsi" w:hAnsiTheme="minorHAnsi" w:cstheme="minorHAnsi"/>
                <w:szCs w:val="20"/>
              </w:rPr>
            </w:pPr>
            <w:r>
              <w:t xml:space="preserve">Introduce a new section under the Tax Procedure Act </w:t>
            </w:r>
            <w:r w:rsidR="007825E6">
              <w:t xml:space="preserve">under the </w:t>
            </w:r>
            <w:r>
              <w:t xml:space="preserve"> </w:t>
            </w:r>
            <w:proofErr w:type="spellStart"/>
            <w:r>
              <w:t>the</w:t>
            </w:r>
            <w:proofErr w:type="spellEnd"/>
            <w:r>
              <w:t xml:space="preserve"> Finance Bill 2025 to read as follows:</w:t>
            </w:r>
            <w:r>
              <w:br/>
            </w:r>
            <w:r>
              <w:br/>
            </w:r>
            <w:r>
              <w:rPr>
                <w:rStyle w:val="Strong"/>
              </w:rPr>
              <w:t xml:space="preserve">“The Cabinet Secretary may, in consultation with the Capital Markets Authority and the Kenya Revenue Authority, prescribe a framework for the </w:t>
            </w:r>
            <w:r>
              <w:rPr>
                <w:rStyle w:val="Strong"/>
              </w:rPr>
              <w:lastRenderedPageBreak/>
              <w:t xml:space="preserve">issuance of VAT Refund Bonds to </w:t>
            </w:r>
            <w:proofErr w:type="spellStart"/>
            <w:r>
              <w:rPr>
                <w:rStyle w:val="Strong"/>
              </w:rPr>
              <w:t>securitise</w:t>
            </w:r>
            <w:proofErr w:type="spellEnd"/>
            <w:r>
              <w:rPr>
                <w:rStyle w:val="Strong"/>
              </w:rPr>
              <w:t xml:space="preserve"> verified and approved VAT refund balances owed to taxpayers, and for the trading of such instruments at the Nairobi Securities Exchange.”</w:t>
            </w:r>
            <w:r>
              <w:br/>
            </w:r>
            <w:r>
              <w:br/>
              <w:t>Such VAT Refund Bonds shall:</w:t>
            </w:r>
            <w:r>
              <w:br/>
              <w:t>(a) Be issued to eligible taxpayers with verified VAT refund balances older than six months;</w:t>
            </w:r>
            <w:r>
              <w:br/>
              <w:t>(b) Be tradable on the Nairobi Securities Exchange (NSE);</w:t>
            </w:r>
            <w:r>
              <w:br/>
              <w:t>(c) Bear a maturity period of 3 to 5 years with semi-annual interest payments;</w:t>
            </w:r>
            <w:r>
              <w:br/>
              <w:t>(d) Be exempt from income tax on interest;</w:t>
            </w:r>
            <w:r>
              <w:br/>
              <w:t>(e) Be eligible as Tier 1 capital for commercial banks and acceptable as collateral.</w:t>
            </w:r>
          </w:p>
        </w:tc>
        <w:tc>
          <w:tcPr>
            <w:tcW w:w="1343" w:type="pct"/>
          </w:tcPr>
          <w:p w14:paraId="44640706" w14:textId="77777777" w:rsidR="00B918CD" w:rsidRPr="00B918CD" w:rsidRDefault="00B918CD" w:rsidP="005C015F">
            <w:pPr>
              <w:pStyle w:val="ListParagraph"/>
              <w:numPr>
                <w:ilvl w:val="0"/>
                <w:numId w:val="30"/>
              </w:numPr>
              <w:spacing w:after="0"/>
              <w:jc w:val="both"/>
              <w:rPr>
                <w:rStyle w:val="Strong"/>
                <w:rFonts w:asciiTheme="minorHAnsi" w:hAnsiTheme="minorHAnsi" w:cstheme="minorHAnsi"/>
                <w:b w:val="0"/>
                <w:bCs w:val="0"/>
                <w:color w:val="000000" w:themeColor="text1"/>
                <w:szCs w:val="20"/>
              </w:rPr>
            </w:pPr>
            <w:r>
              <w:rPr>
                <w:rStyle w:val="Strong"/>
              </w:rPr>
              <w:lastRenderedPageBreak/>
              <w:t>Unlocks liquidity for businesses</w:t>
            </w:r>
            <w:r>
              <w:t xml:space="preserve"> owed billions in refunds without requiring immediate cash outflow from the National Treasury.</w:t>
            </w:r>
            <w:r>
              <w:br/>
            </w:r>
          </w:p>
          <w:p w14:paraId="5CB63FEE" w14:textId="77777777" w:rsidR="00B918CD" w:rsidRPr="00B918CD" w:rsidRDefault="00B918CD" w:rsidP="005C015F">
            <w:pPr>
              <w:pStyle w:val="ListParagraph"/>
              <w:numPr>
                <w:ilvl w:val="0"/>
                <w:numId w:val="30"/>
              </w:numPr>
              <w:spacing w:after="0"/>
              <w:jc w:val="both"/>
              <w:rPr>
                <w:rStyle w:val="Strong"/>
                <w:rFonts w:asciiTheme="minorHAnsi" w:hAnsiTheme="minorHAnsi" w:cstheme="minorHAnsi"/>
                <w:b w:val="0"/>
                <w:bCs w:val="0"/>
                <w:color w:val="000000" w:themeColor="text1"/>
                <w:szCs w:val="20"/>
              </w:rPr>
            </w:pPr>
            <w:r>
              <w:rPr>
                <w:rStyle w:val="Strong"/>
              </w:rPr>
              <w:t>Boosts investor confidence</w:t>
            </w:r>
            <w:r>
              <w:t xml:space="preserve"> and deepens capital markets by </w:t>
            </w:r>
            <w:r>
              <w:lastRenderedPageBreak/>
              <w:t>creating a new asset class.</w:t>
            </w:r>
            <w:r>
              <w:br/>
            </w:r>
          </w:p>
          <w:p w14:paraId="73A2710C" w14:textId="77777777" w:rsidR="00962039" w:rsidRPr="00962039" w:rsidRDefault="00B918CD" w:rsidP="005C015F">
            <w:pPr>
              <w:pStyle w:val="ListParagraph"/>
              <w:numPr>
                <w:ilvl w:val="0"/>
                <w:numId w:val="30"/>
              </w:numPr>
              <w:spacing w:after="0"/>
              <w:jc w:val="both"/>
              <w:rPr>
                <w:rStyle w:val="Strong"/>
                <w:rFonts w:asciiTheme="minorHAnsi" w:hAnsiTheme="minorHAnsi" w:cstheme="minorHAnsi"/>
                <w:b w:val="0"/>
                <w:bCs w:val="0"/>
                <w:color w:val="000000" w:themeColor="text1"/>
                <w:szCs w:val="20"/>
              </w:rPr>
            </w:pPr>
            <w:r>
              <w:rPr>
                <w:rStyle w:val="Strong"/>
              </w:rPr>
              <w:t>Aligns with global best practice</w:t>
            </w:r>
            <w:r>
              <w:t>: Similar mechanisms have been used successfully in India, Argentina, and Greece.</w:t>
            </w:r>
            <w:r>
              <w:br/>
            </w:r>
          </w:p>
          <w:p w14:paraId="4E6ED9E0" w14:textId="77777777" w:rsidR="00962039" w:rsidRPr="00962039" w:rsidRDefault="00B918CD" w:rsidP="005C015F">
            <w:pPr>
              <w:pStyle w:val="ListParagraph"/>
              <w:numPr>
                <w:ilvl w:val="0"/>
                <w:numId w:val="30"/>
              </w:numPr>
              <w:spacing w:after="0"/>
              <w:jc w:val="both"/>
              <w:rPr>
                <w:rFonts w:asciiTheme="minorHAnsi" w:hAnsiTheme="minorHAnsi" w:cstheme="minorHAnsi"/>
                <w:color w:val="000000" w:themeColor="text1"/>
                <w:szCs w:val="20"/>
              </w:rPr>
            </w:pPr>
            <w:r>
              <w:rPr>
                <w:rStyle w:val="Strong"/>
              </w:rPr>
              <w:t>Stimulates economic activity</w:t>
            </w:r>
            <w:r>
              <w:t xml:space="preserve"> by enabling reinvestment, job creation, and industrial growth.</w:t>
            </w:r>
            <w:r>
              <w:br/>
            </w:r>
          </w:p>
          <w:p w14:paraId="5B253714" w14:textId="77777777" w:rsidR="00962039" w:rsidRPr="00962039" w:rsidRDefault="00B918CD" w:rsidP="005C015F">
            <w:pPr>
              <w:pStyle w:val="ListParagraph"/>
              <w:numPr>
                <w:ilvl w:val="0"/>
                <w:numId w:val="30"/>
              </w:numPr>
              <w:spacing w:after="0"/>
              <w:jc w:val="both"/>
              <w:rPr>
                <w:rFonts w:asciiTheme="minorHAnsi" w:hAnsiTheme="minorHAnsi" w:cstheme="minorHAnsi"/>
                <w:color w:val="000000" w:themeColor="text1"/>
                <w:szCs w:val="20"/>
              </w:rPr>
            </w:pPr>
            <w:r>
              <w:t xml:space="preserve">Supports Kenya’s </w:t>
            </w:r>
            <w:r>
              <w:rPr>
                <w:rStyle w:val="Strong"/>
              </w:rPr>
              <w:t>BETA agenda</w:t>
            </w:r>
            <w:r>
              <w:t xml:space="preserve"> and National Tax Policy principles of predictability and efficiency.</w:t>
            </w:r>
            <w:r>
              <w:br/>
            </w:r>
          </w:p>
          <w:p w14:paraId="42A31076" w14:textId="77777777" w:rsidR="00962039" w:rsidRPr="00962039" w:rsidRDefault="00B918CD" w:rsidP="005C015F">
            <w:pPr>
              <w:pStyle w:val="ListParagraph"/>
              <w:numPr>
                <w:ilvl w:val="0"/>
                <w:numId w:val="30"/>
              </w:numPr>
              <w:spacing w:after="0"/>
              <w:jc w:val="both"/>
              <w:rPr>
                <w:rFonts w:asciiTheme="minorHAnsi" w:hAnsiTheme="minorHAnsi" w:cstheme="minorHAnsi"/>
                <w:color w:val="000000" w:themeColor="text1"/>
                <w:szCs w:val="20"/>
              </w:rPr>
            </w:pPr>
            <w:r>
              <w:t>Prevents loss of taxpayer trust and potential litigation over delayed refunds.</w:t>
            </w:r>
            <w:r>
              <w:br/>
            </w:r>
          </w:p>
          <w:p w14:paraId="75C62C1C" w14:textId="2B67A7F4" w:rsidR="00B41B54" w:rsidRPr="004537BE" w:rsidRDefault="00B918CD" w:rsidP="005C015F">
            <w:pPr>
              <w:pStyle w:val="ListParagraph"/>
              <w:numPr>
                <w:ilvl w:val="0"/>
                <w:numId w:val="30"/>
              </w:numPr>
              <w:spacing w:after="0"/>
              <w:jc w:val="both"/>
              <w:rPr>
                <w:rFonts w:asciiTheme="minorHAnsi" w:hAnsiTheme="minorHAnsi" w:cstheme="minorHAnsi"/>
                <w:color w:val="000000" w:themeColor="text1"/>
                <w:szCs w:val="20"/>
              </w:rPr>
            </w:pPr>
            <w:r>
              <w:t xml:space="preserve">Creates a </w:t>
            </w:r>
            <w:r>
              <w:rPr>
                <w:rStyle w:val="Strong"/>
              </w:rPr>
              <w:t>win-win</w:t>
            </w:r>
            <w:r>
              <w:t xml:space="preserve"> structure for the taxpayer (liquidity), government (cash flow preservation), and economy (growth).</w:t>
            </w:r>
          </w:p>
        </w:tc>
      </w:tr>
      <w:tr w:rsidR="00122F61" w:rsidRPr="004537BE" w14:paraId="34AA1736" w14:textId="77777777" w:rsidTr="005C015F">
        <w:tc>
          <w:tcPr>
            <w:tcW w:w="151" w:type="pct"/>
          </w:tcPr>
          <w:p w14:paraId="0496DE5B" w14:textId="77777777" w:rsidR="00122F61" w:rsidRPr="004537BE" w:rsidRDefault="00122F61" w:rsidP="005C015F">
            <w:pPr>
              <w:pStyle w:val="ListParagraph"/>
              <w:numPr>
                <w:ilvl w:val="0"/>
                <w:numId w:val="14"/>
              </w:numPr>
              <w:spacing w:after="0"/>
              <w:rPr>
                <w:rFonts w:asciiTheme="minorHAnsi" w:hAnsiTheme="minorHAnsi" w:cstheme="minorHAnsi"/>
                <w:i/>
                <w:iCs/>
                <w:szCs w:val="20"/>
              </w:rPr>
            </w:pPr>
          </w:p>
        </w:tc>
        <w:tc>
          <w:tcPr>
            <w:tcW w:w="915" w:type="pct"/>
          </w:tcPr>
          <w:p w14:paraId="2ADCEF80" w14:textId="63162D66" w:rsidR="00122F61" w:rsidRPr="00BE4ACF" w:rsidRDefault="003C596A" w:rsidP="005C015F">
            <w:pPr>
              <w:pStyle w:val="ListParagraph"/>
              <w:numPr>
                <w:ilvl w:val="0"/>
                <w:numId w:val="30"/>
              </w:numPr>
              <w:spacing w:after="0"/>
              <w:rPr>
                <w:rFonts w:asciiTheme="minorHAnsi" w:hAnsiTheme="minorHAnsi" w:cstheme="minorHAnsi"/>
                <w:i/>
                <w:iCs/>
                <w:szCs w:val="20"/>
              </w:rPr>
            </w:pPr>
            <w:r w:rsidRPr="00BE4ACF">
              <w:rPr>
                <w:rFonts w:asciiTheme="minorHAnsi" w:hAnsiTheme="minorHAnsi" w:cstheme="minorHAnsi"/>
              </w:rPr>
              <w:t>New Provision for Inclusion to the Finance Bill 2025</w:t>
            </w:r>
          </w:p>
        </w:tc>
        <w:tc>
          <w:tcPr>
            <w:tcW w:w="1219" w:type="pct"/>
          </w:tcPr>
          <w:p w14:paraId="78DCBBF1" w14:textId="5F680FBD" w:rsidR="00122F61" w:rsidRPr="00BE4ACF" w:rsidRDefault="00AB6180" w:rsidP="005C015F">
            <w:pPr>
              <w:pStyle w:val="ListParagraph"/>
              <w:numPr>
                <w:ilvl w:val="0"/>
                <w:numId w:val="30"/>
              </w:numPr>
              <w:spacing w:after="0"/>
              <w:rPr>
                <w:rFonts w:asciiTheme="minorHAnsi" w:hAnsiTheme="minorHAnsi" w:cstheme="minorHAnsi"/>
              </w:rPr>
            </w:pPr>
            <w:r w:rsidRPr="00BE4ACF">
              <w:rPr>
                <w:rFonts w:asciiTheme="minorHAnsi" w:hAnsiTheme="minorHAnsi" w:cstheme="minorHAnsi"/>
              </w:rPr>
              <w:t xml:space="preserve">Empower the Commissioner under the </w:t>
            </w:r>
            <w:r w:rsidRPr="00BE4ACF">
              <w:rPr>
                <w:rStyle w:val="Strong"/>
                <w:rFonts w:asciiTheme="minorHAnsi" w:hAnsiTheme="minorHAnsi" w:cstheme="minorHAnsi"/>
              </w:rPr>
              <w:t>Tax Procedures Act</w:t>
            </w:r>
            <w:r w:rsidRPr="00BE4ACF">
              <w:rPr>
                <w:rFonts w:asciiTheme="minorHAnsi" w:hAnsiTheme="minorHAnsi" w:cstheme="minorHAnsi"/>
              </w:rPr>
              <w:t xml:space="preserve"> to exempt certain businesses from Withholding VAT where price control, thin margins, or persistent VAT credits exist.</w:t>
            </w:r>
          </w:p>
        </w:tc>
        <w:tc>
          <w:tcPr>
            <w:tcW w:w="1372" w:type="pct"/>
          </w:tcPr>
          <w:p w14:paraId="47230077" w14:textId="072F49F2" w:rsidR="00122F61" w:rsidRPr="00BE4ACF" w:rsidRDefault="00AB6180" w:rsidP="004B58C3">
            <w:pPr>
              <w:pStyle w:val="ListParagraph"/>
              <w:numPr>
                <w:ilvl w:val="0"/>
                <w:numId w:val="30"/>
              </w:numPr>
              <w:spacing w:after="0"/>
              <w:rPr>
                <w:rFonts w:asciiTheme="minorHAnsi" w:hAnsiTheme="minorHAnsi" w:cstheme="minorHAnsi"/>
              </w:rPr>
            </w:pPr>
            <w:r w:rsidRPr="00BE4ACF">
              <w:rPr>
                <w:rFonts w:asciiTheme="minorHAnsi" w:hAnsiTheme="minorHAnsi" w:cstheme="minorHAnsi"/>
              </w:rPr>
              <w:t xml:space="preserve">Insert a new subsection under </w:t>
            </w:r>
            <w:r w:rsidRPr="00BE4ACF">
              <w:rPr>
                <w:rStyle w:val="Strong"/>
                <w:rFonts w:asciiTheme="minorHAnsi" w:hAnsiTheme="minorHAnsi" w:cstheme="minorHAnsi"/>
              </w:rPr>
              <w:t>Section 42B</w:t>
            </w:r>
            <w:r w:rsidRPr="00BE4ACF">
              <w:rPr>
                <w:rFonts w:asciiTheme="minorHAnsi" w:hAnsiTheme="minorHAnsi" w:cstheme="minorHAnsi"/>
              </w:rPr>
              <w:t xml:space="preserve"> of the Tax Procedures Act or create a new stand-alone section to read:</w:t>
            </w:r>
            <w:r w:rsidRPr="00BE4ACF">
              <w:rPr>
                <w:rFonts w:asciiTheme="minorHAnsi" w:hAnsiTheme="minorHAnsi" w:cstheme="minorHAnsi"/>
              </w:rPr>
              <w:br/>
            </w:r>
            <w:r w:rsidRPr="00BE4ACF">
              <w:rPr>
                <w:rFonts w:asciiTheme="minorHAnsi" w:hAnsiTheme="minorHAnsi" w:cstheme="minorHAnsi"/>
              </w:rPr>
              <w:br/>
            </w:r>
            <w:r w:rsidRPr="00BE4ACF">
              <w:rPr>
                <w:rStyle w:val="Strong"/>
                <w:rFonts w:asciiTheme="minorHAnsi" w:hAnsiTheme="minorHAnsi" w:cstheme="minorHAnsi"/>
              </w:rPr>
              <w:t xml:space="preserve">“(1) The Commissioner may, upon written application by a taxpayer, exempt such taxpayer, in whole or in part, from the obligation to withhold or be subject to </w:t>
            </w:r>
            <w:r w:rsidRPr="00BE4ACF">
              <w:rPr>
                <w:rStyle w:val="Strong"/>
                <w:rFonts w:asciiTheme="minorHAnsi" w:hAnsiTheme="minorHAnsi" w:cstheme="minorHAnsi"/>
              </w:rPr>
              <w:lastRenderedPageBreak/>
              <w:t>withholding of value added tax where —</w:t>
            </w:r>
            <w:r w:rsidRPr="00BE4ACF">
              <w:rPr>
                <w:rFonts w:asciiTheme="minorHAnsi" w:hAnsiTheme="minorHAnsi" w:cstheme="minorHAnsi"/>
              </w:rPr>
              <w:br/>
            </w:r>
            <w:r w:rsidRPr="00BE4ACF">
              <w:rPr>
                <w:rStyle w:val="Strong"/>
                <w:rFonts w:asciiTheme="minorHAnsi" w:hAnsiTheme="minorHAnsi" w:cstheme="minorHAnsi"/>
              </w:rPr>
              <w:t>(a)</w:t>
            </w:r>
            <w:r w:rsidRPr="00BE4ACF">
              <w:rPr>
                <w:rFonts w:asciiTheme="minorHAnsi" w:hAnsiTheme="minorHAnsi" w:cstheme="minorHAnsi"/>
              </w:rPr>
              <w:t xml:space="preserve"> The taxpayer supplies goods or services whose prices are capped or controlled under any law, regulation, or statutory instrument; </w:t>
            </w:r>
            <w:r w:rsidRPr="00BE4ACF">
              <w:rPr>
                <w:rFonts w:asciiTheme="minorHAnsi" w:hAnsiTheme="minorHAnsi" w:cstheme="minorHAnsi"/>
              </w:rPr>
              <w:br/>
            </w:r>
            <w:r w:rsidRPr="00BE4ACF">
              <w:rPr>
                <w:rStyle w:val="Strong"/>
                <w:rFonts w:asciiTheme="minorHAnsi" w:hAnsiTheme="minorHAnsi" w:cstheme="minorHAnsi"/>
              </w:rPr>
              <w:t>(b)</w:t>
            </w:r>
            <w:r w:rsidRPr="00BE4ACF">
              <w:rPr>
                <w:rFonts w:asciiTheme="minorHAnsi" w:hAnsiTheme="minorHAnsi" w:cstheme="minorHAnsi"/>
              </w:rPr>
              <w:t xml:space="preserve"> The taxpayer operates on gross margins of less than five percent; </w:t>
            </w:r>
            <w:r w:rsidRPr="00BE4ACF">
              <w:rPr>
                <w:rFonts w:asciiTheme="minorHAnsi" w:hAnsiTheme="minorHAnsi" w:cstheme="minorHAnsi"/>
              </w:rPr>
              <w:br/>
            </w:r>
            <w:r w:rsidRPr="00BE4ACF">
              <w:rPr>
                <w:rStyle w:val="Strong"/>
                <w:rFonts w:asciiTheme="minorHAnsi" w:hAnsiTheme="minorHAnsi" w:cstheme="minorHAnsi"/>
              </w:rPr>
              <w:t>(c)</w:t>
            </w:r>
            <w:r w:rsidRPr="00BE4ACF">
              <w:rPr>
                <w:rFonts w:asciiTheme="minorHAnsi" w:hAnsiTheme="minorHAnsi" w:cstheme="minorHAnsi"/>
              </w:rPr>
              <w:t xml:space="preserve"> The taxpayer holds substantial input VAT credit that is unlikely to be offset within twelve months under normal trading conditions; or </w:t>
            </w:r>
            <w:r w:rsidRPr="00BE4ACF">
              <w:rPr>
                <w:rFonts w:asciiTheme="minorHAnsi" w:hAnsiTheme="minorHAnsi" w:cstheme="minorHAnsi"/>
              </w:rPr>
              <w:br/>
            </w:r>
            <w:r w:rsidRPr="00BE4ACF">
              <w:rPr>
                <w:rStyle w:val="Strong"/>
                <w:rFonts w:asciiTheme="minorHAnsi" w:hAnsiTheme="minorHAnsi" w:cstheme="minorHAnsi"/>
              </w:rPr>
              <w:t>(d)</w:t>
            </w:r>
            <w:r w:rsidRPr="00BE4ACF">
              <w:rPr>
                <w:rFonts w:asciiTheme="minorHAnsi" w:hAnsiTheme="minorHAnsi" w:cstheme="minorHAnsi"/>
              </w:rPr>
              <w:t xml:space="preserve"> Any other reasonable cause exists which, in the opinion of the Commissioner, would render the withholding administratively burdensome or unjust. </w:t>
            </w:r>
            <w:r w:rsidRPr="00BE4ACF">
              <w:rPr>
                <w:rFonts w:asciiTheme="minorHAnsi" w:hAnsiTheme="minorHAnsi" w:cstheme="minorHAnsi"/>
              </w:rPr>
              <w:br/>
            </w:r>
            <w:r w:rsidRPr="00BE4ACF">
              <w:rPr>
                <w:rFonts w:asciiTheme="minorHAnsi" w:hAnsiTheme="minorHAnsi" w:cstheme="minorHAnsi"/>
              </w:rPr>
              <w:br/>
            </w:r>
            <w:r w:rsidRPr="00BE4ACF">
              <w:rPr>
                <w:rStyle w:val="Strong"/>
                <w:rFonts w:asciiTheme="minorHAnsi" w:hAnsiTheme="minorHAnsi" w:cstheme="minorHAnsi"/>
              </w:rPr>
              <w:t>(2) The exemption shall be subject to periodic review and may be revoked by the Commissioner in case of material change in circumstances.”</w:t>
            </w:r>
          </w:p>
        </w:tc>
        <w:tc>
          <w:tcPr>
            <w:tcW w:w="1343" w:type="pct"/>
          </w:tcPr>
          <w:p w14:paraId="3DF32520" w14:textId="77777777" w:rsidR="000047C1" w:rsidRPr="00BE4ACF" w:rsidRDefault="000047C1" w:rsidP="005C015F">
            <w:pPr>
              <w:pStyle w:val="ListParagraph"/>
              <w:numPr>
                <w:ilvl w:val="0"/>
                <w:numId w:val="30"/>
              </w:numPr>
              <w:spacing w:after="0"/>
              <w:jc w:val="both"/>
              <w:rPr>
                <w:rStyle w:val="Strong"/>
                <w:rFonts w:asciiTheme="minorHAnsi" w:hAnsiTheme="minorHAnsi" w:cstheme="minorHAnsi"/>
              </w:rPr>
            </w:pPr>
            <w:r w:rsidRPr="00BE4ACF">
              <w:rPr>
                <w:rStyle w:val="Strong"/>
                <w:rFonts w:asciiTheme="minorHAnsi" w:hAnsiTheme="minorHAnsi" w:cstheme="minorHAnsi"/>
              </w:rPr>
              <w:lastRenderedPageBreak/>
              <w:t>Withholding VAT on price-controlled goods</w:t>
            </w:r>
            <w:r w:rsidRPr="00BE4ACF">
              <w:rPr>
                <w:rFonts w:asciiTheme="minorHAnsi" w:hAnsiTheme="minorHAnsi" w:cstheme="minorHAnsi"/>
              </w:rPr>
              <w:t xml:space="preserve"> (e.g. petroleum, electricity, pharmaceuticals) leads to excessive input VAT credits and working capital strain, threatening service delivery.</w:t>
            </w:r>
            <w:r w:rsidRPr="00BE4ACF">
              <w:rPr>
                <w:rFonts w:asciiTheme="minorHAnsi" w:hAnsiTheme="minorHAnsi" w:cstheme="minorHAnsi"/>
              </w:rPr>
              <w:br/>
            </w:r>
          </w:p>
          <w:p w14:paraId="4675DF01" w14:textId="77777777" w:rsidR="000047C1" w:rsidRPr="00BE4ACF" w:rsidRDefault="000047C1" w:rsidP="005C015F">
            <w:pPr>
              <w:pStyle w:val="ListParagraph"/>
              <w:numPr>
                <w:ilvl w:val="0"/>
                <w:numId w:val="30"/>
              </w:numPr>
              <w:spacing w:after="0"/>
              <w:jc w:val="both"/>
              <w:rPr>
                <w:rFonts w:asciiTheme="minorHAnsi" w:hAnsiTheme="minorHAnsi" w:cstheme="minorHAnsi"/>
                <w:b/>
                <w:bCs/>
              </w:rPr>
            </w:pPr>
            <w:r w:rsidRPr="00BE4ACF">
              <w:rPr>
                <w:rStyle w:val="Strong"/>
                <w:rFonts w:asciiTheme="minorHAnsi" w:hAnsiTheme="minorHAnsi" w:cstheme="minorHAnsi"/>
              </w:rPr>
              <w:t>Businesses with thin margins</w:t>
            </w:r>
            <w:r w:rsidRPr="00BE4ACF">
              <w:rPr>
                <w:rFonts w:asciiTheme="minorHAnsi" w:hAnsiTheme="minorHAnsi" w:cstheme="minorHAnsi"/>
              </w:rPr>
              <w:t xml:space="preserve"> (e.g. 2–4% gross margin) cannot absorb 2% VAT withholding without falling </w:t>
            </w:r>
            <w:r w:rsidRPr="00BE4ACF">
              <w:rPr>
                <w:rFonts w:asciiTheme="minorHAnsi" w:hAnsiTheme="minorHAnsi" w:cstheme="minorHAnsi"/>
              </w:rPr>
              <w:lastRenderedPageBreak/>
              <w:t>into cashflow distress.</w:t>
            </w:r>
            <w:r w:rsidRPr="00BE4ACF">
              <w:rPr>
                <w:rFonts w:asciiTheme="minorHAnsi" w:hAnsiTheme="minorHAnsi" w:cstheme="minorHAnsi"/>
              </w:rPr>
              <w:br/>
            </w:r>
          </w:p>
          <w:p w14:paraId="4219713D" w14:textId="77777777" w:rsidR="000047C1" w:rsidRPr="00BE4ACF" w:rsidRDefault="000047C1" w:rsidP="005C015F">
            <w:pPr>
              <w:pStyle w:val="ListParagraph"/>
              <w:numPr>
                <w:ilvl w:val="0"/>
                <w:numId w:val="30"/>
              </w:numPr>
              <w:spacing w:after="0"/>
              <w:jc w:val="both"/>
              <w:rPr>
                <w:rFonts w:asciiTheme="minorHAnsi" w:hAnsiTheme="minorHAnsi" w:cstheme="minorHAnsi"/>
                <w:b/>
                <w:bCs/>
              </w:rPr>
            </w:pPr>
            <w:r w:rsidRPr="00BE4ACF">
              <w:rPr>
                <w:rFonts w:asciiTheme="minorHAnsi" w:hAnsiTheme="minorHAnsi" w:cstheme="minorHAnsi"/>
              </w:rPr>
              <w:t xml:space="preserve">Where </w:t>
            </w:r>
            <w:r w:rsidRPr="00BE4ACF">
              <w:rPr>
                <w:rStyle w:val="Strong"/>
                <w:rFonts w:asciiTheme="minorHAnsi" w:hAnsiTheme="minorHAnsi" w:cstheme="minorHAnsi"/>
              </w:rPr>
              <w:t>input VAT credits accumulate for over 12 months</w:t>
            </w:r>
            <w:r w:rsidRPr="00BE4ACF">
              <w:rPr>
                <w:rFonts w:asciiTheme="minorHAnsi" w:hAnsiTheme="minorHAnsi" w:cstheme="minorHAnsi"/>
              </w:rPr>
              <w:t>, refund timelines and VAT neutrality are distorted.</w:t>
            </w:r>
            <w:r w:rsidRPr="00BE4ACF">
              <w:rPr>
                <w:rFonts w:asciiTheme="minorHAnsi" w:hAnsiTheme="minorHAnsi" w:cstheme="minorHAnsi"/>
              </w:rPr>
              <w:br/>
            </w:r>
          </w:p>
          <w:p w14:paraId="068E4FBF" w14:textId="77777777" w:rsidR="000047C1" w:rsidRPr="00BE4ACF" w:rsidRDefault="000047C1" w:rsidP="005C015F">
            <w:pPr>
              <w:pStyle w:val="ListParagraph"/>
              <w:numPr>
                <w:ilvl w:val="0"/>
                <w:numId w:val="30"/>
              </w:numPr>
              <w:spacing w:after="0"/>
              <w:jc w:val="both"/>
              <w:rPr>
                <w:rFonts w:asciiTheme="minorHAnsi" w:hAnsiTheme="minorHAnsi" w:cstheme="minorHAnsi"/>
                <w:b/>
                <w:bCs/>
              </w:rPr>
            </w:pPr>
            <w:r w:rsidRPr="00BE4ACF">
              <w:rPr>
                <w:rFonts w:asciiTheme="minorHAnsi" w:hAnsiTheme="minorHAnsi" w:cstheme="minorHAnsi"/>
              </w:rPr>
              <w:t xml:space="preserve">This clause grants </w:t>
            </w:r>
            <w:r w:rsidRPr="00BE4ACF">
              <w:rPr>
                <w:rStyle w:val="Strong"/>
                <w:rFonts w:asciiTheme="minorHAnsi" w:hAnsiTheme="minorHAnsi" w:cstheme="minorHAnsi"/>
              </w:rPr>
              <w:t>targeted administrative flexibility</w:t>
            </w:r>
            <w:r w:rsidRPr="00BE4ACF">
              <w:rPr>
                <w:rFonts w:asciiTheme="minorHAnsi" w:hAnsiTheme="minorHAnsi" w:cstheme="minorHAnsi"/>
              </w:rPr>
              <w:t>, while allowing KRA to impose safeguards, reviews, or conditions.</w:t>
            </w:r>
            <w:r w:rsidRPr="00BE4ACF">
              <w:rPr>
                <w:rFonts w:asciiTheme="minorHAnsi" w:hAnsiTheme="minorHAnsi" w:cstheme="minorHAnsi"/>
              </w:rPr>
              <w:br/>
            </w:r>
          </w:p>
          <w:p w14:paraId="37CF7FA1" w14:textId="77777777" w:rsidR="009D0646" w:rsidRPr="00BE4ACF" w:rsidRDefault="000047C1" w:rsidP="005C015F">
            <w:pPr>
              <w:pStyle w:val="ListParagraph"/>
              <w:numPr>
                <w:ilvl w:val="0"/>
                <w:numId w:val="30"/>
              </w:numPr>
              <w:spacing w:after="0"/>
              <w:jc w:val="both"/>
              <w:rPr>
                <w:rFonts w:asciiTheme="minorHAnsi" w:hAnsiTheme="minorHAnsi" w:cstheme="minorHAnsi"/>
                <w:b/>
                <w:bCs/>
              </w:rPr>
            </w:pPr>
            <w:r w:rsidRPr="00BE4ACF">
              <w:rPr>
                <w:rFonts w:asciiTheme="minorHAnsi" w:hAnsiTheme="minorHAnsi" w:cstheme="minorHAnsi"/>
              </w:rPr>
              <w:t xml:space="preserve">Aligns with international best practices and </w:t>
            </w:r>
            <w:r w:rsidRPr="00BE4ACF">
              <w:rPr>
                <w:rStyle w:val="Strong"/>
                <w:rFonts w:asciiTheme="minorHAnsi" w:hAnsiTheme="minorHAnsi" w:cstheme="minorHAnsi"/>
              </w:rPr>
              <w:t>tax equity</w:t>
            </w:r>
            <w:r w:rsidRPr="00BE4ACF">
              <w:rPr>
                <w:rFonts w:asciiTheme="minorHAnsi" w:hAnsiTheme="minorHAnsi" w:cstheme="minorHAnsi"/>
              </w:rPr>
              <w:t>, treating firms according to operational realities.</w:t>
            </w:r>
            <w:r w:rsidRPr="00BE4ACF">
              <w:rPr>
                <w:rFonts w:asciiTheme="minorHAnsi" w:hAnsiTheme="minorHAnsi" w:cstheme="minorHAnsi"/>
              </w:rPr>
              <w:br/>
            </w:r>
          </w:p>
          <w:p w14:paraId="69FA95ED" w14:textId="77777777" w:rsidR="009D0646" w:rsidRPr="00BE4ACF" w:rsidRDefault="000047C1" w:rsidP="005C015F">
            <w:pPr>
              <w:pStyle w:val="ListParagraph"/>
              <w:numPr>
                <w:ilvl w:val="0"/>
                <w:numId w:val="30"/>
              </w:numPr>
              <w:spacing w:after="0"/>
              <w:jc w:val="both"/>
              <w:rPr>
                <w:rFonts w:asciiTheme="minorHAnsi" w:hAnsiTheme="minorHAnsi" w:cstheme="minorHAnsi"/>
                <w:b/>
                <w:bCs/>
              </w:rPr>
            </w:pPr>
            <w:r w:rsidRPr="00BE4ACF">
              <w:rPr>
                <w:rFonts w:asciiTheme="minorHAnsi" w:hAnsiTheme="minorHAnsi" w:cstheme="minorHAnsi"/>
              </w:rPr>
              <w:t xml:space="preserve">Supports cash flow preservation, tax fairness, and </w:t>
            </w:r>
            <w:r w:rsidRPr="00BE4ACF">
              <w:rPr>
                <w:rStyle w:val="Strong"/>
                <w:rFonts w:asciiTheme="minorHAnsi" w:hAnsiTheme="minorHAnsi" w:cstheme="minorHAnsi"/>
              </w:rPr>
              <w:t>sectoral sustainability</w:t>
            </w:r>
            <w:r w:rsidRPr="00BE4ACF">
              <w:rPr>
                <w:rFonts w:asciiTheme="minorHAnsi" w:hAnsiTheme="minorHAnsi" w:cstheme="minorHAnsi"/>
              </w:rPr>
              <w:t xml:space="preserve"> in sensitive industries.</w:t>
            </w:r>
            <w:r w:rsidRPr="00BE4ACF">
              <w:rPr>
                <w:rFonts w:asciiTheme="minorHAnsi" w:hAnsiTheme="minorHAnsi" w:cstheme="minorHAnsi"/>
              </w:rPr>
              <w:br/>
            </w:r>
          </w:p>
          <w:p w14:paraId="24D5AF12" w14:textId="1157A250" w:rsidR="00122F61" w:rsidRPr="00BE4ACF" w:rsidRDefault="000047C1" w:rsidP="005C015F">
            <w:pPr>
              <w:pStyle w:val="ListParagraph"/>
              <w:numPr>
                <w:ilvl w:val="0"/>
                <w:numId w:val="30"/>
              </w:numPr>
              <w:spacing w:after="0"/>
              <w:jc w:val="both"/>
              <w:rPr>
                <w:rStyle w:val="Strong"/>
                <w:rFonts w:asciiTheme="minorHAnsi" w:hAnsiTheme="minorHAnsi" w:cstheme="minorHAnsi"/>
              </w:rPr>
            </w:pPr>
            <w:r w:rsidRPr="00BE4ACF">
              <w:rPr>
                <w:rFonts w:asciiTheme="minorHAnsi" w:hAnsiTheme="minorHAnsi" w:cstheme="minorHAnsi"/>
              </w:rPr>
              <w:t>Ensures businesses aren’t punished by structural inefficiencies beyond their control.</w:t>
            </w:r>
          </w:p>
        </w:tc>
      </w:tr>
      <w:tr w:rsidR="00BE4ACF" w:rsidRPr="004537BE" w14:paraId="62B12EB6" w14:textId="77777777" w:rsidTr="005C015F">
        <w:tc>
          <w:tcPr>
            <w:tcW w:w="151" w:type="pct"/>
          </w:tcPr>
          <w:p w14:paraId="66B8803B" w14:textId="77777777" w:rsidR="00BE4ACF" w:rsidRPr="004537BE" w:rsidRDefault="00BE4ACF" w:rsidP="005C015F">
            <w:pPr>
              <w:pStyle w:val="ListParagraph"/>
              <w:numPr>
                <w:ilvl w:val="0"/>
                <w:numId w:val="14"/>
              </w:numPr>
              <w:spacing w:after="0"/>
              <w:rPr>
                <w:rFonts w:asciiTheme="minorHAnsi" w:hAnsiTheme="minorHAnsi" w:cstheme="minorHAnsi"/>
                <w:i/>
                <w:iCs/>
                <w:szCs w:val="20"/>
              </w:rPr>
            </w:pPr>
          </w:p>
        </w:tc>
        <w:tc>
          <w:tcPr>
            <w:tcW w:w="915" w:type="pct"/>
          </w:tcPr>
          <w:p w14:paraId="4F1C56D0" w14:textId="2AA45C7D" w:rsidR="00BE4ACF" w:rsidRPr="00BE4ACF" w:rsidRDefault="00C65124" w:rsidP="005C015F">
            <w:pPr>
              <w:pStyle w:val="ListParagraph"/>
              <w:numPr>
                <w:ilvl w:val="0"/>
                <w:numId w:val="30"/>
              </w:numPr>
              <w:spacing w:after="0"/>
              <w:rPr>
                <w:rFonts w:asciiTheme="minorHAnsi" w:hAnsiTheme="minorHAnsi" w:cstheme="minorHAnsi"/>
              </w:rPr>
            </w:pPr>
            <w:r>
              <w:t>New Provision for Inclusion to the Finance Bill 2025</w:t>
            </w:r>
          </w:p>
        </w:tc>
        <w:tc>
          <w:tcPr>
            <w:tcW w:w="1219" w:type="pct"/>
          </w:tcPr>
          <w:p w14:paraId="0D3B3B50" w14:textId="2C58F6CC" w:rsidR="00BE4ACF" w:rsidRPr="00BE4ACF" w:rsidRDefault="00C65124" w:rsidP="005C015F">
            <w:pPr>
              <w:pStyle w:val="ListParagraph"/>
              <w:numPr>
                <w:ilvl w:val="0"/>
                <w:numId w:val="30"/>
              </w:numPr>
              <w:spacing w:after="0"/>
              <w:rPr>
                <w:rFonts w:asciiTheme="minorHAnsi" w:hAnsiTheme="minorHAnsi" w:cstheme="minorHAnsi"/>
              </w:rPr>
            </w:pPr>
            <w:r>
              <w:t xml:space="preserve">Amendment to Section 37E of the </w:t>
            </w:r>
            <w:r>
              <w:rPr>
                <w:rStyle w:val="Strong"/>
              </w:rPr>
              <w:t>Tax Procedures Act</w:t>
            </w:r>
            <w:r>
              <w:t xml:space="preserve"> to extend the amnesty period and expand the coverage window.</w:t>
            </w:r>
          </w:p>
        </w:tc>
        <w:tc>
          <w:tcPr>
            <w:tcW w:w="1372" w:type="pct"/>
          </w:tcPr>
          <w:p w14:paraId="345F260F" w14:textId="56683453" w:rsidR="00BE4ACF" w:rsidRPr="00BE4ACF" w:rsidRDefault="00F66530" w:rsidP="004B58C3">
            <w:pPr>
              <w:pStyle w:val="ListParagraph"/>
              <w:numPr>
                <w:ilvl w:val="0"/>
                <w:numId w:val="30"/>
              </w:numPr>
              <w:spacing w:after="0"/>
              <w:rPr>
                <w:rFonts w:asciiTheme="minorHAnsi" w:hAnsiTheme="minorHAnsi" w:cstheme="minorHAnsi"/>
              </w:rPr>
            </w:pPr>
            <w:r>
              <w:t>Amend Section 37E(3)(b)(</w:t>
            </w:r>
            <w:proofErr w:type="spellStart"/>
            <w:r>
              <w:t>i</w:t>
            </w:r>
            <w:proofErr w:type="spellEnd"/>
            <w:r>
              <w:t>) and Section 37</w:t>
            </w:r>
            <w:proofErr w:type="gramStart"/>
            <w:r>
              <w:t>E(</w:t>
            </w:r>
            <w:proofErr w:type="gramEnd"/>
            <w:r>
              <w:t>4) of the Tax Procedures Act as follows:</w:t>
            </w:r>
            <w:r>
              <w:br/>
            </w:r>
            <w:r>
              <w:br/>
              <w:t xml:space="preserve">1. In </w:t>
            </w:r>
            <w:r>
              <w:rPr>
                <w:rStyle w:val="Strong"/>
              </w:rPr>
              <w:t>Section 37E(3)(b)(</w:t>
            </w:r>
            <w:proofErr w:type="spellStart"/>
            <w:r>
              <w:rPr>
                <w:rStyle w:val="Strong"/>
              </w:rPr>
              <w:t>i</w:t>
            </w:r>
            <w:proofErr w:type="spellEnd"/>
            <w:r>
              <w:rPr>
                <w:rStyle w:val="Strong"/>
              </w:rPr>
              <w:t>)</w:t>
            </w:r>
            <w:r>
              <w:t>, replace the words:</w:t>
            </w:r>
            <w:r>
              <w:br/>
            </w:r>
            <w:r>
              <w:rPr>
                <w:rStyle w:val="Strong"/>
              </w:rPr>
              <w:t>“not later than the 30th June, 2025”</w:t>
            </w:r>
            <w:r>
              <w:br/>
              <w:t>with:</w:t>
            </w:r>
            <w:r>
              <w:br/>
            </w:r>
            <w:r>
              <w:rPr>
                <w:rStyle w:val="Strong"/>
              </w:rPr>
              <w:lastRenderedPageBreak/>
              <w:t>“not later than the 30th June, 2026”</w:t>
            </w:r>
            <w:r>
              <w:br/>
            </w:r>
            <w:r>
              <w:br/>
              <w:t xml:space="preserve">2. In </w:t>
            </w:r>
            <w:r>
              <w:rPr>
                <w:rStyle w:val="Strong"/>
              </w:rPr>
              <w:t>Section 37</w:t>
            </w:r>
            <w:proofErr w:type="gramStart"/>
            <w:r>
              <w:rPr>
                <w:rStyle w:val="Strong"/>
              </w:rPr>
              <w:t>E(</w:t>
            </w:r>
            <w:proofErr w:type="gramEnd"/>
            <w:r>
              <w:rPr>
                <w:rStyle w:val="Strong"/>
              </w:rPr>
              <w:t>1)</w:t>
            </w:r>
            <w:r>
              <w:t xml:space="preserve"> and </w:t>
            </w:r>
            <w:r>
              <w:rPr>
                <w:rStyle w:val="Strong"/>
              </w:rPr>
              <w:t>Section 37E(2)</w:t>
            </w:r>
            <w:r>
              <w:t>, replace the phrase:</w:t>
            </w:r>
            <w:r>
              <w:br/>
            </w:r>
            <w:r>
              <w:rPr>
                <w:rStyle w:val="Strong"/>
              </w:rPr>
              <w:t>“for any year of income ending on or before the 31st December, 2022”</w:t>
            </w:r>
            <w:r>
              <w:br/>
              <w:t>with:</w:t>
            </w:r>
            <w:r>
              <w:br/>
            </w:r>
            <w:r>
              <w:rPr>
                <w:rStyle w:val="Strong"/>
              </w:rPr>
              <w:t>“for any year of income ending on or before the 31st December, 2024”</w:t>
            </w:r>
          </w:p>
        </w:tc>
        <w:tc>
          <w:tcPr>
            <w:tcW w:w="1343" w:type="pct"/>
          </w:tcPr>
          <w:p w14:paraId="2A521050" w14:textId="77777777" w:rsidR="00E91E94" w:rsidRPr="00E91E94" w:rsidRDefault="00E91E94" w:rsidP="005C015F">
            <w:pPr>
              <w:pStyle w:val="ListParagraph"/>
              <w:numPr>
                <w:ilvl w:val="0"/>
                <w:numId w:val="30"/>
              </w:numPr>
              <w:spacing w:after="0"/>
              <w:jc w:val="both"/>
              <w:rPr>
                <w:rFonts w:asciiTheme="minorHAnsi" w:hAnsiTheme="minorHAnsi" w:cstheme="minorHAnsi"/>
                <w:b/>
                <w:bCs/>
              </w:rPr>
            </w:pPr>
            <w:r>
              <w:lastRenderedPageBreak/>
              <w:t xml:space="preserve">KRA has issued </w:t>
            </w:r>
            <w:r>
              <w:rPr>
                <w:rStyle w:val="Strong"/>
              </w:rPr>
              <w:t>a high volume of assessments</w:t>
            </w:r>
            <w:r>
              <w:t xml:space="preserve">, many of which relate to historical ledger balances and unreconciled accounts dating as far back as </w:t>
            </w:r>
            <w:r>
              <w:rPr>
                <w:rStyle w:val="Strong"/>
              </w:rPr>
              <w:t>1992</w:t>
            </w:r>
            <w:r>
              <w:t>.</w:t>
            </w:r>
            <w:r>
              <w:br/>
            </w:r>
          </w:p>
          <w:p w14:paraId="39A3F548" w14:textId="77777777" w:rsidR="00E91E94" w:rsidRPr="00E91E94" w:rsidRDefault="00E91E94" w:rsidP="005C015F">
            <w:pPr>
              <w:pStyle w:val="ListParagraph"/>
              <w:numPr>
                <w:ilvl w:val="0"/>
                <w:numId w:val="30"/>
              </w:numPr>
              <w:spacing w:after="0"/>
              <w:jc w:val="both"/>
              <w:rPr>
                <w:rFonts w:asciiTheme="minorHAnsi" w:hAnsiTheme="minorHAnsi" w:cstheme="minorHAnsi"/>
                <w:b/>
                <w:bCs/>
              </w:rPr>
            </w:pPr>
            <w:r>
              <w:t xml:space="preserve">Taxpayers have been invited to </w:t>
            </w:r>
            <w:r>
              <w:rPr>
                <w:rStyle w:val="Strong"/>
              </w:rPr>
              <w:t>clean up legacy tax ledgers</w:t>
            </w:r>
            <w:r>
              <w:t xml:space="preserve"> </w:t>
            </w:r>
            <w:r>
              <w:lastRenderedPageBreak/>
              <w:t xml:space="preserve">and </w:t>
            </w:r>
            <w:r>
              <w:rPr>
                <w:rStyle w:val="Strong"/>
              </w:rPr>
              <w:t>reconcile inconsistencies</w:t>
            </w:r>
            <w:r>
              <w:t>, but the workload and complexity require more time to resolve transparently and in good faith.</w:t>
            </w:r>
            <w:r>
              <w:br/>
            </w:r>
          </w:p>
          <w:p w14:paraId="44D216BD" w14:textId="77777777" w:rsidR="00E91E94" w:rsidRPr="00E91E94" w:rsidRDefault="00E91E94" w:rsidP="005C015F">
            <w:pPr>
              <w:pStyle w:val="ListParagraph"/>
              <w:numPr>
                <w:ilvl w:val="0"/>
                <w:numId w:val="30"/>
              </w:numPr>
              <w:spacing w:after="0"/>
              <w:jc w:val="both"/>
              <w:rPr>
                <w:rFonts w:asciiTheme="minorHAnsi" w:hAnsiTheme="minorHAnsi" w:cstheme="minorHAnsi"/>
                <w:b/>
                <w:bCs/>
              </w:rPr>
            </w:pPr>
            <w:r>
              <w:t xml:space="preserve">KRA has already collected substantial revenue through the amnesty to date. An extension will </w:t>
            </w:r>
            <w:r>
              <w:rPr>
                <w:rStyle w:val="Strong"/>
              </w:rPr>
              <w:t>further enhance voluntary compliance</w:t>
            </w:r>
            <w:r>
              <w:t xml:space="preserve"> and revenue performance.</w:t>
            </w:r>
            <w:r>
              <w:br/>
            </w:r>
          </w:p>
          <w:p w14:paraId="4BB78A67" w14:textId="77777777" w:rsidR="00E91E94" w:rsidRPr="00E91E94" w:rsidRDefault="00E91E94" w:rsidP="005C015F">
            <w:pPr>
              <w:pStyle w:val="ListParagraph"/>
              <w:numPr>
                <w:ilvl w:val="0"/>
                <w:numId w:val="30"/>
              </w:numPr>
              <w:spacing w:after="0"/>
              <w:jc w:val="both"/>
              <w:rPr>
                <w:rFonts w:asciiTheme="minorHAnsi" w:hAnsiTheme="minorHAnsi" w:cstheme="minorHAnsi"/>
                <w:b/>
                <w:bCs/>
              </w:rPr>
            </w:pPr>
            <w:r>
              <w:t xml:space="preserve">Expanding the covered period to </w:t>
            </w:r>
            <w:r>
              <w:rPr>
                <w:rStyle w:val="Strong"/>
              </w:rPr>
              <w:t>31st December 2024</w:t>
            </w:r>
            <w:r>
              <w:t xml:space="preserve"> reflects the reality that </w:t>
            </w:r>
            <w:r>
              <w:rPr>
                <w:rStyle w:val="Strong"/>
              </w:rPr>
              <w:t>many taxpayers filed or regularized late</w:t>
            </w:r>
            <w:r>
              <w:t xml:space="preserve"> and now face demands for recent years that fall just outside the original cut-off.</w:t>
            </w:r>
            <w:r>
              <w:br/>
            </w:r>
          </w:p>
          <w:p w14:paraId="5A2EE322" w14:textId="77777777" w:rsidR="00E91E94" w:rsidRPr="00E91E94" w:rsidRDefault="00E91E94" w:rsidP="005C015F">
            <w:pPr>
              <w:pStyle w:val="ListParagraph"/>
              <w:numPr>
                <w:ilvl w:val="0"/>
                <w:numId w:val="30"/>
              </w:numPr>
              <w:spacing w:after="0"/>
              <w:jc w:val="both"/>
              <w:rPr>
                <w:rFonts w:asciiTheme="minorHAnsi" w:hAnsiTheme="minorHAnsi" w:cstheme="minorHAnsi"/>
                <w:b/>
                <w:bCs/>
              </w:rPr>
            </w:pPr>
            <w:r>
              <w:t xml:space="preserve">Extending the deadline to </w:t>
            </w:r>
            <w:r>
              <w:rPr>
                <w:rStyle w:val="Strong"/>
              </w:rPr>
              <w:t>30th June 2026</w:t>
            </w:r>
            <w:r>
              <w:t xml:space="preserve"> provides a practical 12-month window for taxpayers to </w:t>
            </w:r>
            <w:r>
              <w:rPr>
                <w:rStyle w:val="Strong"/>
              </w:rPr>
              <w:t>fully clean up records</w:t>
            </w:r>
            <w:r>
              <w:t>, engage in Alternative Dispute Resolution (ADR), and settle without penalty or interest.</w:t>
            </w:r>
            <w:r>
              <w:br/>
            </w:r>
          </w:p>
          <w:p w14:paraId="4A4C0B1B" w14:textId="77777777" w:rsidR="00E91E94" w:rsidRPr="00E91E94" w:rsidRDefault="00E91E94" w:rsidP="005C015F">
            <w:pPr>
              <w:pStyle w:val="ListParagraph"/>
              <w:numPr>
                <w:ilvl w:val="0"/>
                <w:numId w:val="30"/>
              </w:numPr>
              <w:spacing w:after="0"/>
              <w:jc w:val="both"/>
              <w:rPr>
                <w:rFonts w:asciiTheme="minorHAnsi" w:hAnsiTheme="minorHAnsi" w:cstheme="minorHAnsi"/>
                <w:b/>
                <w:bCs/>
              </w:rPr>
            </w:pPr>
            <w:r>
              <w:t xml:space="preserve">This fosters </w:t>
            </w:r>
            <w:r>
              <w:rPr>
                <w:rStyle w:val="Strong"/>
              </w:rPr>
              <w:t>good faith</w:t>
            </w:r>
            <w:r>
              <w:t xml:space="preserve">, </w:t>
            </w:r>
            <w:r>
              <w:rPr>
                <w:rStyle w:val="Strong"/>
              </w:rPr>
              <w:t>restores trust</w:t>
            </w:r>
            <w:r>
              <w:t>, and supports long-term tax compliance and cooperation.</w:t>
            </w:r>
            <w:r>
              <w:br/>
            </w:r>
          </w:p>
          <w:p w14:paraId="4143D78E" w14:textId="42336F92" w:rsidR="00BE4ACF" w:rsidRPr="00BE4ACF" w:rsidRDefault="00E91E94" w:rsidP="005C015F">
            <w:pPr>
              <w:pStyle w:val="ListParagraph"/>
              <w:numPr>
                <w:ilvl w:val="0"/>
                <w:numId w:val="30"/>
              </w:numPr>
              <w:spacing w:after="0"/>
              <w:jc w:val="both"/>
              <w:rPr>
                <w:rStyle w:val="Strong"/>
                <w:rFonts w:asciiTheme="minorHAnsi" w:hAnsiTheme="minorHAnsi" w:cstheme="minorHAnsi"/>
              </w:rPr>
            </w:pPr>
            <w:r>
              <w:t xml:space="preserve">Retains alignment with the national tax policy goals of </w:t>
            </w:r>
            <w:r>
              <w:rPr>
                <w:rStyle w:val="Strong"/>
              </w:rPr>
              <w:lastRenderedPageBreak/>
              <w:t>certainty, equity, and economic sustainability</w:t>
            </w:r>
            <w:r>
              <w:t>.</w:t>
            </w:r>
          </w:p>
        </w:tc>
      </w:tr>
      <w:tr w:rsidR="00F86796" w:rsidRPr="004537BE" w14:paraId="05D3F128" w14:textId="77777777" w:rsidTr="005C015F">
        <w:tc>
          <w:tcPr>
            <w:tcW w:w="151" w:type="pct"/>
          </w:tcPr>
          <w:p w14:paraId="6C65BBBB" w14:textId="77777777" w:rsidR="00F86796" w:rsidRPr="004537BE" w:rsidRDefault="00F86796" w:rsidP="005C015F">
            <w:pPr>
              <w:pStyle w:val="ListParagraph"/>
              <w:numPr>
                <w:ilvl w:val="0"/>
                <w:numId w:val="14"/>
              </w:numPr>
              <w:spacing w:after="0"/>
              <w:rPr>
                <w:rFonts w:asciiTheme="minorHAnsi" w:hAnsiTheme="minorHAnsi" w:cstheme="minorHAnsi"/>
                <w:i/>
                <w:iCs/>
                <w:szCs w:val="20"/>
              </w:rPr>
            </w:pPr>
          </w:p>
        </w:tc>
        <w:tc>
          <w:tcPr>
            <w:tcW w:w="915" w:type="pct"/>
          </w:tcPr>
          <w:p w14:paraId="15DFE674" w14:textId="2F0F8D59" w:rsidR="00F86796" w:rsidRDefault="00D47D16" w:rsidP="005C015F">
            <w:pPr>
              <w:pStyle w:val="ListParagraph"/>
              <w:numPr>
                <w:ilvl w:val="0"/>
                <w:numId w:val="30"/>
              </w:numPr>
              <w:spacing w:after="0"/>
            </w:pPr>
            <w:r>
              <w:t>New Provision for Inclusion to the Finance Bill 2025</w:t>
            </w:r>
          </w:p>
        </w:tc>
        <w:tc>
          <w:tcPr>
            <w:tcW w:w="1219" w:type="pct"/>
          </w:tcPr>
          <w:p w14:paraId="4998AACF" w14:textId="73C83657" w:rsidR="00F86796" w:rsidRDefault="00D47D16" w:rsidP="005C015F">
            <w:pPr>
              <w:pStyle w:val="ListParagraph"/>
              <w:numPr>
                <w:ilvl w:val="0"/>
                <w:numId w:val="30"/>
              </w:numPr>
              <w:spacing w:after="0"/>
            </w:pPr>
            <w:r>
              <w:t xml:space="preserve">Reintroduction of a </w:t>
            </w:r>
            <w:r>
              <w:rPr>
                <w:rStyle w:val="Strong"/>
              </w:rPr>
              <w:t>Tax Amnesty on Foreign-Sourced Income</w:t>
            </w:r>
            <w:r>
              <w:t xml:space="preserve"> repatriated into Kenya.</w:t>
            </w:r>
          </w:p>
        </w:tc>
        <w:tc>
          <w:tcPr>
            <w:tcW w:w="1372" w:type="pct"/>
          </w:tcPr>
          <w:p w14:paraId="00DDA9A9" w14:textId="5484E0F0" w:rsidR="00F86796" w:rsidRDefault="000476D1" w:rsidP="004B58C3">
            <w:pPr>
              <w:pStyle w:val="ListParagraph"/>
              <w:numPr>
                <w:ilvl w:val="0"/>
                <w:numId w:val="30"/>
              </w:numPr>
              <w:spacing w:after="0"/>
            </w:pPr>
            <w:r>
              <w:t xml:space="preserve">Insert a new section under the </w:t>
            </w:r>
            <w:r>
              <w:rPr>
                <w:rStyle w:val="Strong"/>
              </w:rPr>
              <w:t>Tax Procedures Act</w:t>
            </w:r>
            <w:r>
              <w:t xml:space="preserve"> as follows:</w:t>
            </w:r>
            <w:r>
              <w:br/>
            </w:r>
            <w:r>
              <w:br/>
            </w:r>
            <w:r>
              <w:rPr>
                <w:rStyle w:val="Strong"/>
              </w:rPr>
              <w:t>“Section 37F – Repatriation of Foreign Income Amnesty</w:t>
            </w:r>
            <w:r>
              <w:br/>
            </w:r>
            <w:r>
              <w:br/>
              <w:t xml:space="preserve">(1) Notwithstanding any other provision of this Act or the Income Tax Act, the Commissioner shall refrain from assessing or recovering taxes, penalties or interest in respect of income accrued outside Kenya in any year of income ending on or before </w:t>
            </w:r>
            <w:r>
              <w:rPr>
                <w:rStyle w:val="Strong"/>
              </w:rPr>
              <w:t>31st December 2023</w:t>
            </w:r>
            <w:r>
              <w:t>, where the person who earned such income —</w:t>
            </w:r>
            <w:r>
              <w:br/>
              <w:t>(a) declares the income for the year of income 2024;</w:t>
            </w:r>
            <w:r>
              <w:br/>
              <w:t xml:space="preserve">(b) submits returns and accounts for 2024 on or before </w:t>
            </w:r>
            <w:r>
              <w:rPr>
                <w:rStyle w:val="Strong"/>
              </w:rPr>
              <w:t>30th June 2026</w:t>
            </w:r>
            <w:r>
              <w:t>; and</w:t>
            </w:r>
            <w:r>
              <w:br/>
              <w:t xml:space="preserve">(c) repatriates such income into Kenya by </w:t>
            </w:r>
            <w:r>
              <w:rPr>
                <w:rStyle w:val="Strong"/>
              </w:rPr>
              <w:t>30th June 2026</w:t>
            </w:r>
            <w:r>
              <w:t>.</w:t>
            </w:r>
            <w:r>
              <w:br/>
            </w:r>
            <w:r>
              <w:br/>
              <w:t>(2) This section shall not apply to income —</w:t>
            </w:r>
            <w:r>
              <w:br/>
              <w:t>(a) already assessed or under active investigation;</w:t>
            </w:r>
            <w:r>
              <w:br/>
              <w:t>(b) derived from illegal activities including terrorism, trafficking, or corruption.</w:t>
            </w:r>
            <w:r>
              <w:br/>
            </w:r>
            <w:r>
              <w:br/>
              <w:t xml:space="preserve">(3) Funds repatriated under this </w:t>
            </w:r>
            <w:r>
              <w:lastRenderedPageBreak/>
              <w:t>section shall be exempt from the provisions of the Proceeds of Crime and Anti-Money Laundering Act, 2009, provided the source is lawfully declared.”</w:t>
            </w:r>
          </w:p>
        </w:tc>
        <w:tc>
          <w:tcPr>
            <w:tcW w:w="1343" w:type="pct"/>
          </w:tcPr>
          <w:p w14:paraId="4389E108" w14:textId="77777777" w:rsidR="00BF2550" w:rsidRDefault="00BF2550" w:rsidP="005C015F">
            <w:pPr>
              <w:pStyle w:val="ListParagraph"/>
              <w:numPr>
                <w:ilvl w:val="0"/>
                <w:numId w:val="30"/>
              </w:numPr>
              <w:spacing w:after="0"/>
              <w:jc w:val="both"/>
            </w:pPr>
            <w:r>
              <w:lastRenderedPageBreak/>
              <w:t xml:space="preserve">Kenya previously provided a similar amnesty through the </w:t>
            </w:r>
            <w:r>
              <w:rPr>
                <w:rStyle w:val="Strong"/>
              </w:rPr>
              <w:t>Finance Act 2016</w:t>
            </w:r>
            <w:r>
              <w:t>, but uptake was low due to insufficient time, uncertainty, and lack of clarity.</w:t>
            </w:r>
            <w:r>
              <w:br/>
            </w:r>
          </w:p>
          <w:p w14:paraId="1E2C44CB" w14:textId="77777777" w:rsidR="00BF2550" w:rsidRDefault="00BF2550" w:rsidP="005C015F">
            <w:pPr>
              <w:pStyle w:val="ListParagraph"/>
              <w:numPr>
                <w:ilvl w:val="0"/>
                <w:numId w:val="30"/>
              </w:numPr>
              <w:spacing w:after="0"/>
              <w:jc w:val="both"/>
            </w:pPr>
            <w:r>
              <w:t xml:space="preserve">The country is now facing fiscal pressures and </w:t>
            </w:r>
            <w:r>
              <w:rPr>
                <w:rStyle w:val="Strong"/>
              </w:rPr>
              <w:t>a growing diaspora wealth base</w:t>
            </w:r>
            <w:r>
              <w:t xml:space="preserve">, making this an opportune time to </w:t>
            </w:r>
            <w:r>
              <w:rPr>
                <w:rStyle w:val="Strong"/>
              </w:rPr>
              <w:t>attract capital inflows</w:t>
            </w:r>
            <w:r>
              <w:t xml:space="preserve"> to support economic recovery.</w:t>
            </w:r>
            <w:r>
              <w:br/>
            </w:r>
          </w:p>
          <w:p w14:paraId="7AB71BB1" w14:textId="77777777" w:rsidR="00BF2550" w:rsidRDefault="00BF2550" w:rsidP="005C015F">
            <w:pPr>
              <w:pStyle w:val="ListParagraph"/>
              <w:numPr>
                <w:ilvl w:val="0"/>
                <w:numId w:val="30"/>
              </w:numPr>
              <w:spacing w:after="0"/>
              <w:jc w:val="both"/>
            </w:pPr>
            <w:r>
              <w:t xml:space="preserve">The </w:t>
            </w:r>
            <w:r>
              <w:rPr>
                <w:rStyle w:val="Strong"/>
              </w:rPr>
              <w:t>amnesty would unlock foreign funds</w:t>
            </w:r>
            <w:r>
              <w:t>, allowing Kenyans abroad to bring back income or assets without fear of retrospective taxation or legal exposure.</w:t>
            </w:r>
            <w:r>
              <w:br/>
            </w:r>
          </w:p>
          <w:p w14:paraId="0B1CB791" w14:textId="77777777" w:rsidR="00BF2550" w:rsidRPr="00BF2550" w:rsidRDefault="00BF2550" w:rsidP="005C015F">
            <w:pPr>
              <w:pStyle w:val="ListParagraph"/>
              <w:numPr>
                <w:ilvl w:val="0"/>
                <w:numId w:val="30"/>
              </w:numPr>
              <w:spacing w:after="0"/>
              <w:jc w:val="both"/>
              <w:rPr>
                <w:rStyle w:val="Strong"/>
                <w:b w:val="0"/>
                <w:bCs w:val="0"/>
              </w:rPr>
            </w:pPr>
            <w:r>
              <w:t xml:space="preserve">Helps bridge the </w:t>
            </w:r>
            <w:r>
              <w:rPr>
                <w:rStyle w:val="Strong"/>
              </w:rPr>
              <w:t>budget deficit</w:t>
            </w:r>
            <w:r>
              <w:t xml:space="preserve"> (estimated at ~5% of GDP) through </w:t>
            </w:r>
            <w:r>
              <w:rPr>
                <w:rStyle w:val="Strong"/>
              </w:rPr>
              <w:t>voluntary repatriation</w:t>
            </w:r>
            <w:r>
              <w:t xml:space="preserve"> of resources.</w:t>
            </w:r>
            <w:r>
              <w:br/>
            </w:r>
          </w:p>
          <w:p w14:paraId="436DBCB8" w14:textId="77777777" w:rsidR="00332D78" w:rsidRDefault="00BF2550" w:rsidP="005C015F">
            <w:pPr>
              <w:pStyle w:val="ListParagraph"/>
              <w:numPr>
                <w:ilvl w:val="0"/>
                <w:numId w:val="30"/>
              </w:numPr>
              <w:spacing w:after="0"/>
              <w:jc w:val="both"/>
            </w:pPr>
            <w:r>
              <w:rPr>
                <w:rStyle w:val="Strong"/>
              </w:rPr>
              <w:t>No cost to the Exchequer</w:t>
            </w:r>
            <w:r>
              <w:t>, but potential billions in inflows, investment, and liquidity in real estate, bonds, stocks, and enterprise.</w:t>
            </w:r>
          </w:p>
          <w:p w14:paraId="4235D712" w14:textId="77777777" w:rsidR="00332D78" w:rsidRDefault="00BF2550" w:rsidP="005C015F">
            <w:pPr>
              <w:pStyle w:val="ListParagraph"/>
              <w:numPr>
                <w:ilvl w:val="0"/>
                <w:numId w:val="30"/>
              </w:numPr>
              <w:spacing w:after="0"/>
              <w:jc w:val="both"/>
            </w:pPr>
            <w:r>
              <w:t xml:space="preserve">Reinforces </w:t>
            </w:r>
            <w:r>
              <w:rPr>
                <w:rStyle w:val="Strong"/>
              </w:rPr>
              <w:t>national unity and trust</w:t>
            </w:r>
            <w:r>
              <w:t xml:space="preserve">, signaling that Kenya welcomes diaspora wealth and values transparency over </w:t>
            </w:r>
            <w:r>
              <w:lastRenderedPageBreak/>
              <w:t>punishment.</w:t>
            </w:r>
            <w:r>
              <w:br/>
            </w:r>
          </w:p>
          <w:p w14:paraId="52C25F6E" w14:textId="7B13D095" w:rsidR="00F86796" w:rsidRDefault="00BF2550" w:rsidP="005C015F">
            <w:pPr>
              <w:pStyle w:val="ListParagraph"/>
              <w:numPr>
                <w:ilvl w:val="0"/>
                <w:numId w:val="30"/>
              </w:numPr>
              <w:spacing w:after="0"/>
              <w:jc w:val="both"/>
            </w:pPr>
            <w:r>
              <w:t xml:space="preserve">Aligns with reforms in other emerging markets (e.g. Nigeria, South Africa, Indonesia) that implemented </w:t>
            </w:r>
            <w:r>
              <w:rPr>
                <w:rStyle w:val="Strong"/>
              </w:rPr>
              <w:t>successful offshore income amnesties</w:t>
            </w:r>
            <w:r>
              <w:t>.</w:t>
            </w:r>
          </w:p>
        </w:tc>
      </w:tr>
      <w:tr w:rsidR="006B7B8E" w:rsidRPr="004537BE" w14:paraId="45FE4077" w14:textId="77777777" w:rsidTr="005C015F">
        <w:tc>
          <w:tcPr>
            <w:tcW w:w="151" w:type="pct"/>
          </w:tcPr>
          <w:p w14:paraId="38AE82BC" w14:textId="77777777" w:rsidR="006B7B8E" w:rsidRPr="004537BE" w:rsidRDefault="006B7B8E" w:rsidP="005C015F">
            <w:pPr>
              <w:pStyle w:val="ListParagraph"/>
              <w:numPr>
                <w:ilvl w:val="0"/>
                <w:numId w:val="14"/>
              </w:numPr>
              <w:spacing w:after="0"/>
              <w:rPr>
                <w:rFonts w:asciiTheme="minorHAnsi" w:hAnsiTheme="minorHAnsi" w:cstheme="minorHAnsi"/>
                <w:i/>
                <w:iCs/>
                <w:szCs w:val="20"/>
              </w:rPr>
            </w:pPr>
          </w:p>
        </w:tc>
        <w:tc>
          <w:tcPr>
            <w:tcW w:w="915" w:type="pct"/>
          </w:tcPr>
          <w:p w14:paraId="60DC5C2C" w14:textId="77777777" w:rsidR="004B58C3" w:rsidRPr="004537BE" w:rsidRDefault="006B7B8E" w:rsidP="005C015F">
            <w:pPr>
              <w:pStyle w:val="ListParagraph"/>
              <w:numPr>
                <w:ilvl w:val="0"/>
                <w:numId w:val="30"/>
              </w:numPr>
              <w:spacing w:after="0"/>
              <w:rPr>
                <w:rFonts w:asciiTheme="minorHAnsi" w:hAnsiTheme="minorHAnsi" w:cstheme="minorHAnsi"/>
                <w:i/>
                <w:iCs/>
                <w:szCs w:val="20"/>
              </w:rPr>
            </w:pPr>
            <w:r w:rsidRPr="004537BE">
              <w:rPr>
                <w:rFonts w:asciiTheme="minorHAnsi" w:hAnsiTheme="minorHAnsi" w:cstheme="minorHAnsi"/>
                <w:i/>
                <w:iCs/>
                <w:szCs w:val="20"/>
              </w:rPr>
              <w:t>Section 47(v) of the Finance Bill,2025 that seeks to delete Section 42(14)(e) of the Tax Procedures Act.</w:t>
            </w:r>
          </w:p>
          <w:p w14:paraId="632F03A8" w14:textId="4111BF15" w:rsidR="006B7B8E" w:rsidRPr="004537BE" w:rsidRDefault="006B7B8E" w:rsidP="004B58C3">
            <w:pPr>
              <w:pStyle w:val="ListParagraph"/>
              <w:spacing w:after="0"/>
              <w:rPr>
                <w:rFonts w:asciiTheme="minorHAnsi" w:hAnsiTheme="minorHAnsi" w:cstheme="minorHAnsi"/>
                <w:i/>
                <w:iCs/>
                <w:szCs w:val="20"/>
              </w:rPr>
            </w:pPr>
            <w:r w:rsidRPr="004537BE">
              <w:rPr>
                <w:rFonts w:asciiTheme="minorHAnsi" w:hAnsiTheme="minorHAnsi" w:cstheme="minorHAnsi"/>
                <w:bCs/>
                <w:szCs w:val="20"/>
              </w:rPr>
              <w:t>Agency notices to be issued where a taxpayer has appealed against a TAT or Court decision.</w:t>
            </w:r>
          </w:p>
          <w:p w14:paraId="1DAC1DA6" w14:textId="77777777" w:rsidR="006B7B8E" w:rsidRPr="004537BE" w:rsidRDefault="006B7B8E" w:rsidP="005C015F">
            <w:pPr>
              <w:rPr>
                <w:rFonts w:cstheme="minorHAnsi"/>
                <w:sz w:val="20"/>
                <w:szCs w:val="20"/>
              </w:rPr>
            </w:pPr>
          </w:p>
        </w:tc>
        <w:tc>
          <w:tcPr>
            <w:tcW w:w="1219" w:type="pct"/>
          </w:tcPr>
          <w:p w14:paraId="5AC6241B" w14:textId="77777777" w:rsidR="004B58C3" w:rsidRPr="004537BE" w:rsidRDefault="006B7B8E" w:rsidP="005C015F">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Section 42 (14) of the Tax procedures Act states;</w:t>
            </w:r>
            <w:r w:rsidR="004B58C3" w:rsidRPr="004537BE">
              <w:rPr>
                <w:rFonts w:asciiTheme="minorHAnsi" w:hAnsiTheme="minorHAnsi" w:cstheme="minorHAnsi"/>
                <w:szCs w:val="20"/>
              </w:rPr>
              <w:t xml:space="preserve"> </w:t>
            </w:r>
          </w:p>
          <w:p w14:paraId="14AE7D38" w14:textId="77777777" w:rsidR="004B58C3" w:rsidRPr="004537BE" w:rsidRDefault="006B7B8E" w:rsidP="004B58C3">
            <w:pPr>
              <w:pStyle w:val="ListParagraph"/>
              <w:spacing w:after="0"/>
              <w:rPr>
                <w:rFonts w:asciiTheme="minorHAnsi" w:hAnsiTheme="minorHAnsi" w:cstheme="minorHAnsi"/>
                <w:szCs w:val="20"/>
              </w:rPr>
            </w:pPr>
            <w:r w:rsidRPr="004537BE">
              <w:rPr>
                <w:rFonts w:asciiTheme="minorHAnsi" w:hAnsiTheme="minorHAnsi" w:cstheme="minorHAnsi"/>
                <w:szCs w:val="20"/>
              </w:rPr>
              <w:t>(14) The Commissioner shall not issue a notice under this section unless —</w:t>
            </w:r>
            <w:r w:rsidR="004B58C3" w:rsidRPr="004537BE">
              <w:rPr>
                <w:rFonts w:asciiTheme="minorHAnsi" w:hAnsiTheme="minorHAnsi" w:cstheme="minorHAnsi"/>
                <w:szCs w:val="20"/>
              </w:rPr>
              <w:t xml:space="preserve"> </w:t>
            </w:r>
            <w:r w:rsidRPr="004537BE">
              <w:rPr>
                <w:rFonts w:asciiTheme="minorHAnsi" w:hAnsiTheme="minorHAnsi" w:cstheme="minorHAnsi"/>
                <w:szCs w:val="20"/>
              </w:rPr>
              <w:t>(a)the taxpayer has defaulted in paying an instalment under section 33 (2);</w:t>
            </w:r>
          </w:p>
          <w:p w14:paraId="0D7B25C1" w14:textId="77777777" w:rsidR="004B58C3" w:rsidRPr="004537BE" w:rsidRDefault="006B7B8E" w:rsidP="004B58C3">
            <w:pPr>
              <w:pStyle w:val="ListParagraph"/>
              <w:spacing w:after="0"/>
              <w:rPr>
                <w:rFonts w:asciiTheme="minorHAnsi" w:hAnsiTheme="minorHAnsi" w:cstheme="minorHAnsi"/>
                <w:szCs w:val="20"/>
              </w:rPr>
            </w:pPr>
            <w:r w:rsidRPr="004537BE">
              <w:rPr>
                <w:rFonts w:asciiTheme="minorHAnsi" w:hAnsiTheme="minorHAnsi" w:cstheme="minorHAnsi"/>
                <w:szCs w:val="20"/>
              </w:rPr>
              <w:t>(b)the Commissioner has raised an assessment and the taxpayer has not objected to or challenged the validity of the assessment within the prescribed period;</w:t>
            </w:r>
          </w:p>
          <w:p w14:paraId="667F3982" w14:textId="77777777" w:rsidR="004B58C3" w:rsidRPr="004537BE" w:rsidRDefault="006B7B8E" w:rsidP="004B58C3">
            <w:pPr>
              <w:pStyle w:val="ListParagraph"/>
              <w:spacing w:after="0"/>
              <w:rPr>
                <w:rFonts w:asciiTheme="minorHAnsi" w:hAnsiTheme="minorHAnsi" w:cstheme="minorHAnsi"/>
                <w:szCs w:val="20"/>
              </w:rPr>
            </w:pPr>
            <w:r w:rsidRPr="004537BE">
              <w:rPr>
                <w:rFonts w:asciiTheme="minorHAnsi" w:hAnsiTheme="minorHAnsi" w:cstheme="minorHAnsi"/>
                <w:szCs w:val="20"/>
              </w:rPr>
              <w:t>(c)the taxpayer has not appealed against an assessment specified in an objection decision within the prescribed timelines;</w:t>
            </w:r>
          </w:p>
          <w:p w14:paraId="51721189" w14:textId="77777777" w:rsidR="004B58C3" w:rsidRPr="004537BE" w:rsidRDefault="006B7B8E" w:rsidP="004B58C3">
            <w:pPr>
              <w:pStyle w:val="ListParagraph"/>
              <w:spacing w:after="0"/>
              <w:rPr>
                <w:rFonts w:asciiTheme="minorHAnsi" w:hAnsiTheme="minorHAnsi" w:cstheme="minorHAnsi"/>
                <w:szCs w:val="20"/>
              </w:rPr>
            </w:pPr>
            <w:r w:rsidRPr="004537BE">
              <w:rPr>
                <w:rFonts w:asciiTheme="minorHAnsi" w:hAnsiTheme="minorHAnsi" w:cstheme="minorHAnsi"/>
                <w:szCs w:val="20"/>
              </w:rPr>
              <w:t>(d)the taxpayer has made a self-assessment and submitted a return but has not paid the taxes due before the due date lapsed; or</w:t>
            </w:r>
          </w:p>
          <w:p w14:paraId="400A5CA6" w14:textId="77777777" w:rsidR="004B58C3" w:rsidRPr="004537BE" w:rsidRDefault="006B7B8E" w:rsidP="004B58C3">
            <w:pPr>
              <w:pStyle w:val="ListParagraph"/>
              <w:spacing w:after="0"/>
              <w:rPr>
                <w:rFonts w:asciiTheme="minorHAnsi" w:hAnsiTheme="minorHAnsi" w:cstheme="minorHAnsi"/>
                <w:szCs w:val="20"/>
              </w:rPr>
            </w:pPr>
            <w:r w:rsidRPr="004537BE">
              <w:rPr>
                <w:rFonts w:asciiTheme="minorHAnsi" w:hAnsiTheme="minorHAnsi" w:cstheme="minorHAnsi"/>
                <w:szCs w:val="20"/>
              </w:rPr>
              <w:t xml:space="preserve">(e)the taxpayer has not appealed against an assessment specified in a </w:t>
            </w:r>
            <w:r w:rsidRPr="004537BE">
              <w:rPr>
                <w:rFonts w:asciiTheme="minorHAnsi" w:hAnsiTheme="minorHAnsi" w:cstheme="minorHAnsi"/>
                <w:szCs w:val="20"/>
              </w:rPr>
              <w:lastRenderedPageBreak/>
              <w:t>decision of the Tribunal or court.</w:t>
            </w:r>
          </w:p>
          <w:p w14:paraId="02532A80" w14:textId="0C29F0DF" w:rsidR="006B7B8E" w:rsidRPr="004537BE" w:rsidRDefault="006B7B8E" w:rsidP="004B58C3">
            <w:pPr>
              <w:pStyle w:val="ListParagraph"/>
              <w:spacing w:after="0"/>
              <w:rPr>
                <w:rFonts w:asciiTheme="minorHAnsi" w:hAnsiTheme="minorHAnsi" w:cstheme="minorHAnsi"/>
                <w:szCs w:val="20"/>
              </w:rPr>
            </w:pPr>
            <w:r w:rsidRPr="004537BE">
              <w:rPr>
                <w:rFonts w:asciiTheme="minorHAnsi" w:hAnsiTheme="minorHAnsi" w:cstheme="minorHAnsi"/>
                <w:szCs w:val="20"/>
              </w:rPr>
              <w:t>Section 42(14)(e) of the Tax Procedures Act ensures that the Commissioner is barred from issuing an agency notice where a taxpayer has appealed against an adverse TAT or Court decision within the required statutory timelines.</w:t>
            </w:r>
          </w:p>
        </w:tc>
        <w:tc>
          <w:tcPr>
            <w:tcW w:w="1372" w:type="pct"/>
          </w:tcPr>
          <w:p w14:paraId="4B921C2F" w14:textId="77777777" w:rsidR="006B7B8E" w:rsidRPr="004537BE" w:rsidRDefault="006B7B8E" w:rsidP="004B58C3">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lastRenderedPageBreak/>
              <w:t>Delete Section 47(v) of the Finance Bill, 2025</w:t>
            </w:r>
          </w:p>
        </w:tc>
        <w:tc>
          <w:tcPr>
            <w:tcW w:w="1343" w:type="pct"/>
          </w:tcPr>
          <w:p w14:paraId="4235C45E" w14:textId="77777777" w:rsidR="004B58C3" w:rsidRPr="004537BE" w:rsidRDefault="006B7B8E" w:rsidP="005C015F">
            <w:pPr>
              <w:pStyle w:val="ListParagraph"/>
              <w:numPr>
                <w:ilvl w:val="0"/>
                <w:numId w:val="30"/>
              </w:numPr>
              <w:spacing w:after="0"/>
              <w:jc w:val="both"/>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Section 42(14)(e) of the Tax Procedures Act plays a crucial role in upholding the principles of fairness, due process, and the right to appeal within Kenya’s tax administration framework.</w:t>
            </w:r>
          </w:p>
          <w:p w14:paraId="7D21EC88" w14:textId="77777777" w:rsidR="004B58C3" w:rsidRPr="004537BE" w:rsidRDefault="006B7B8E" w:rsidP="005C015F">
            <w:pPr>
              <w:pStyle w:val="ListParagraph"/>
              <w:numPr>
                <w:ilvl w:val="0"/>
                <w:numId w:val="30"/>
              </w:numPr>
              <w:spacing w:after="0"/>
              <w:jc w:val="both"/>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This provision ensures that where a taxpayer has exercised their legal right to appeal an adverse decision by the Tax Appeals Tribunal (TAT) or a court within the prescribed statutory timelines, the Kenya Revenue Authority (KRA) is barred from prematurely enforcing the decision through the issuance of agency notices.</w:t>
            </w:r>
          </w:p>
          <w:p w14:paraId="1C40D2F3" w14:textId="77777777" w:rsidR="004B58C3" w:rsidRPr="004537BE" w:rsidRDefault="006B7B8E" w:rsidP="005C015F">
            <w:pPr>
              <w:pStyle w:val="ListParagraph"/>
              <w:numPr>
                <w:ilvl w:val="0"/>
                <w:numId w:val="30"/>
              </w:numPr>
              <w:spacing w:after="0"/>
              <w:jc w:val="both"/>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t>The issuance of agency notices, especially during the pendency of an appeal, can lead to severe financial and reputational harm to taxpayers, including disruptions to cash flow, business operations, and banking relationships. It can also undermine confidence in the dispute resolution process, effectively rendering the right of appeal mute.</w:t>
            </w:r>
          </w:p>
          <w:p w14:paraId="04979365" w14:textId="46E00C33" w:rsidR="006B7B8E" w:rsidRPr="004537BE" w:rsidRDefault="006B7B8E" w:rsidP="005C015F">
            <w:pPr>
              <w:pStyle w:val="ListParagraph"/>
              <w:numPr>
                <w:ilvl w:val="0"/>
                <w:numId w:val="30"/>
              </w:numPr>
              <w:spacing w:after="0"/>
              <w:jc w:val="both"/>
              <w:rPr>
                <w:rFonts w:asciiTheme="minorHAnsi" w:hAnsiTheme="minorHAnsi" w:cstheme="minorHAnsi"/>
                <w:color w:val="000000" w:themeColor="text1"/>
                <w:szCs w:val="20"/>
              </w:rPr>
            </w:pPr>
            <w:r w:rsidRPr="004537BE">
              <w:rPr>
                <w:rFonts w:asciiTheme="minorHAnsi" w:hAnsiTheme="minorHAnsi" w:cstheme="minorHAnsi"/>
                <w:color w:val="000000" w:themeColor="text1"/>
                <w:szCs w:val="20"/>
              </w:rPr>
              <w:lastRenderedPageBreak/>
              <w:t>By maintaining Section 42(14)(e), the law strikes a fair balance between the enforcement powers of the Commissioner and the taxpayer’s constitutional right to a fair hearing. It ensures that legal processes are respected and that enforcement measures are only undertaken once all avenues for appeal have been exhausted or lapsed.</w:t>
            </w:r>
          </w:p>
        </w:tc>
      </w:tr>
      <w:tr w:rsidR="004537BE" w:rsidRPr="004537BE" w14:paraId="4E052D8C" w14:textId="77777777" w:rsidTr="006B2350">
        <w:tc>
          <w:tcPr>
            <w:tcW w:w="151" w:type="pct"/>
          </w:tcPr>
          <w:p w14:paraId="7E3A7E43" w14:textId="77777777" w:rsidR="004537BE" w:rsidRPr="004537BE" w:rsidRDefault="004537BE" w:rsidP="006B2350">
            <w:pPr>
              <w:pStyle w:val="ListParagraph"/>
              <w:numPr>
                <w:ilvl w:val="0"/>
                <w:numId w:val="14"/>
              </w:numPr>
              <w:spacing w:after="0"/>
              <w:rPr>
                <w:rFonts w:asciiTheme="minorHAnsi" w:hAnsiTheme="minorHAnsi" w:cstheme="minorHAnsi"/>
                <w:szCs w:val="20"/>
              </w:rPr>
            </w:pPr>
          </w:p>
        </w:tc>
        <w:tc>
          <w:tcPr>
            <w:tcW w:w="915" w:type="pct"/>
          </w:tcPr>
          <w:p w14:paraId="250ADE55" w14:textId="77777777" w:rsidR="004537BE" w:rsidRPr="004537BE" w:rsidRDefault="004537BE" w:rsidP="004537BE">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Section 50 of the Finance Bill 2025</w:t>
            </w:r>
          </w:p>
          <w:p w14:paraId="2D001E73" w14:textId="77777777" w:rsidR="004537BE" w:rsidRPr="004537BE" w:rsidRDefault="004537BE" w:rsidP="006B2350">
            <w:pPr>
              <w:rPr>
                <w:rFonts w:cstheme="minorHAnsi"/>
                <w:sz w:val="20"/>
                <w:szCs w:val="20"/>
              </w:rPr>
            </w:pPr>
          </w:p>
          <w:p w14:paraId="789CE4C3" w14:textId="77777777" w:rsidR="004537BE" w:rsidRPr="004537BE" w:rsidRDefault="004537BE" w:rsidP="004537BE">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 xml:space="preserve">Setoff Overpayment/Set off Advance Payment on KRA’s </w:t>
            </w:r>
            <w:proofErr w:type="spellStart"/>
            <w:r w:rsidRPr="004537BE">
              <w:rPr>
                <w:rFonts w:asciiTheme="minorHAnsi" w:hAnsiTheme="minorHAnsi" w:cstheme="minorHAnsi"/>
                <w:szCs w:val="20"/>
              </w:rPr>
              <w:t>i</w:t>
            </w:r>
            <w:proofErr w:type="spellEnd"/>
            <w:r w:rsidRPr="004537BE">
              <w:rPr>
                <w:rFonts w:asciiTheme="minorHAnsi" w:hAnsiTheme="minorHAnsi" w:cstheme="minorHAnsi"/>
                <w:szCs w:val="20"/>
              </w:rPr>
              <w:t>-Tax portal</w:t>
            </w:r>
          </w:p>
          <w:p w14:paraId="46FD5465" w14:textId="77777777" w:rsidR="004537BE" w:rsidRPr="004537BE" w:rsidRDefault="004537BE" w:rsidP="004537BE">
            <w:pPr>
              <w:pStyle w:val="ListParagraph"/>
              <w:spacing w:after="0"/>
              <w:rPr>
                <w:rFonts w:asciiTheme="minorHAnsi" w:hAnsiTheme="minorHAnsi" w:cstheme="minorHAnsi"/>
                <w:szCs w:val="20"/>
              </w:rPr>
            </w:pPr>
          </w:p>
          <w:p w14:paraId="3600F584" w14:textId="5DFCD17B" w:rsidR="004537BE" w:rsidRPr="004537BE" w:rsidRDefault="004537B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 xml:space="preserve">We request that the </w:t>
            </w:r>
            <w:proofErr w:type="spellStart"/>
            <w:r w:rsidRPr="004537BE">
              <w:rPr>
                <w:rFonts w:asciiTheme="minorHAnsi" w:hAnsiTheme="minorHAnsi" w:cstheme="minorHAnsi"/>
                <w:szCs w:val="20"/>
              </w:rPr>
              <w:t>i</w:t>
            </w:r>
            <w:proofErr w:type="spellEnd"/>
            <w:r w:rsidRPr="004537BE">
              <w:rPr>
                <w:rFonts w:asciiTheme="minorHAnsi" w:hAnsiTheme="minorHAnsi" w:cstheme="minorHAnsi"/>
                <w:szCs w:val="20"/>
              </w:rPr>
              <w:t>-Tax portal be configured in a manner that enable taxpayers to utilize valid Refund Adjustment Vouchers (RAVs) (“approved refunds”) to set-off existing (current) Withholding Tax &amp; Withholding VAT liabilities.</w:t>
            </w:r>
          </w:p>
          <w:p w14:paraId="5DD7995A" w14:textId="77777777" w:rsidR="004537BE" w:rsidRPr="004537BE" w:rsidRDefault="004537BE" w:rsidP="006B2350">
            <w:pPr>
              <w:rPr>
                <w:rFonts w:cstheme="minorHAnsi"/>
                <w:sz w:val="20"/>
                <w:szCs w:val="20"/>
              </w:rPr>
            </w:pPr>
          </w:p>
        </w:tc>
        <w:tc>
          <w:tcPr>
            <w:tcW w:w="1219" w:type="pct"/>
          </w:tcPr>
          <w:p w14:paraId="68DDFE21" w14:textId="77777777" w:rsidR="004537BE" w:rsidRPr="004537BE" w:rsidRDefault="004537BE" w:rsidP="006B2350">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lastRenderedPageBreak/>
              <w:t xml:space="preserve">Section 47 of the Tax Procedures Act (TPA) as presently drafted allows a tax payer to elect to cash disbursement on approved refunds or set-off the approved refunds against present and future tax obligations. </w:t>
            </w:r>
          </w:p>
          <w:p w14:paraId="5432A5AF" w14:textId="77777777" w:rsidR="004537BE" w:rsidRPr="004537BE" w:rsidRDefault="004537BE" w:rsidP="004537BE">
            <w:pPr>
              <w:pStyle w:val="ListParagraph"/>
              <w:spacing w:after="0"/>
              <w:rPr>
                <w:rFonts w:asciiTheme="minorHAnsi" w:hAnsiTheme="minorHAnsi" w:cstheme="minorHAnsi"/>
                <w:szCs w:val="20"/>
              </w:rPr>
            </w:pPr>
          </w:p>
          <w:p w14:paraId="0D10C976" w14:textId="77777777" w:rsidR="004537BE" w:rsidRPr="004537BE" w:rsidRDefault="004537BE" w:rsidP="006B2350">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The said provision states as follows</w:t>
            </w:r>
            <w:proofErr w:type="gramStart"/>
            <w:r w:rsidRPr="004537BE">
              <w:rPr>
                <w:rFonts w:asciiTheme="minorHAnsi" w:hAnsiTheme="minorHAnsi" w:cstheme="minorHAnsi"/>
                <w:szCs w:val="20"/>
              </w:rPr>
              <w:t>:  “</w:t>
            </w:r>
            <w:proofErr w:type="gramEnd"/>
            <w:r w:rsidRPr="004537BE">
              <w:rPr>
                <w:rFonts w:asciiTheme="minorHAnsi" w:hAnsiTheme="minorHAnsi" w:cstheme="minorHAnsi"/>
                <w:szCs w:val="20"/>
              </w:rPr>
              <w:t>Where a taxpayer has overpaid a tax under any tax law, the taxpayer may apply to the Commissioner in the prescribed form—</w:t>
            </w:r>
          </w:p>
          <w:p w14:paraId="580D610C" w14:textId="77777777" w:rsidR="004537BE" w:rsidRPr="004537BE" w:rsidRDefault="004537BE" w:rsidP="004537BE">
            <w:pPr>
              <w:pStyle w:val="ListParagraph"/>
              <w:rPr>
                <w:rFonts w:asciiTheme="minorHAnsi" w:hAnsiTheme="minorHAnsi" w:cstheme="minorHAnsi"/>
                <w:szCs w:val="20"/>
              </w:rPr>
            </w:pPr>
          </w:p>
          <w:p w14:paraId="06F29CF6" w14:textId="10232324" w:rsidR="004537BE" w:rsidRPr="004537BE" w:rsidRDefault="004537B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(a) to offset the overpaid tax against the taxpayer’s outstanding tax debts and future tax liabilities including instalment taxes and input value added tax; …”</w:t>
            </w:r>
          </w:p>
        </w:tc>
        <w:tc>
          <w:tcPr>
            <w:tcW w:w="1372" w:type="pct"/>
          </w:tcPr>
          <w:p w14:paraId="247C2BD6" w14:textId="77777777" w:rsidR="004537BE" w:rsidRPr="004537BE" w:rsidRDefault="004537BE" w:rsidP="006B2350">
            <w:pPr>
              <w:rPr>
                <w:rFonts w:cstheme="minorHAnsi"/>
                <w:sz w:val="20"/>
                <w:szCs w:val="20"/>
              </w:rPr>
            </w:pPr>
          </w:p>
          <w:p w14:paraId="4AAA797F" w14:textId="77777777" w:rsidR="004537BE" w:rsidRPr="004537BE" w:rsidRDefault="004537BE" w:rsidP="004537BE">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 xml:space="preserve">We are of the view that Section 47 of the TPA allows all tax debt to be offset against any tax overpayments and the </w:t>
            </w:r>
            <w:proofErr w:type="spellStart"/>
            <w:r w:rsidRPr="004537BE">
              <w:rPr>
                <w:rFonts w:asciiTheme="minorHAnsi" w:hAnsiTheme="minorHAnsi" w:cstheme="minorHAnsi"/>
                <w:szCs w:val="20"/>
              </w:rPr>
              <w:t>i</w:t>
            </w:r>
            <w:proofErr w:type="spellEnd"/>
            <w:r w:rsidRPr="004537BE">
              <w:rPr>
                <w:rFonts w:asciiTheme="minorHAnsi" w:hAnsiTheme="minorHAnsi" w:cstheme="minorHAnsi"/>
                <w:szCs w:val="20"/>
              </w:rPr>
              <w:t xml:space="preserve">-tax portal should be configured in a way that enables a taxpayer to offset their present tax liabilities for WHVAT and WHT in the same way as with Income Tax, VAT, PAYE, and excise duty obligations.  </w:t>
            </w:r>
          </w:p>
          <w:p w14:paraId="0903E54A" w14:textId="77777777" w:rsidR="004537BE" w:rsidRPr="004537BE" w:rsidRDefault="004537BE" w:rsidP="006B2350">
            <w:pPr>
              <w:rPr>
                <w:rFonts w:cstheme="minorHAnsi"/>
                <w:sz w:val="20"/>
                <w:szCs w:val="20"/>
              </w:rPr>
            </w:pPr>
          </w:p>
          <w:p w14:paraId="75800DCA" w14:textId="77777777" w:rsidR="004537BE" w:rsidRPr="004537BE" w:rsidRDefault="004537BE" w:rsidP="004537BE">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 xml:space="preserve">This will enable seamless application of Section 47(1)(a) of the TPA and implementation of the </w:t>
            </w:r>
            <w:proofErr w:type="spellStart"/>
            <w:r w:rsidRPr="004537BE">
              <w:rPr>
                <w:rFonts w:asciiTheme="minorHAnsi" w:hAnsiTheme="minorHAnsi" w:cstheme="minorHAnsi"/>
                <w:szCs w:val="20"/>
              </w:rPr>
              <w:t>i</w:t>
            </w:r>
            <w:proofErr w:type="spellEnd"/>
            <w:r w:rsidRPr="004537BE">
              <w:rPr>
                <w:rFonts w:asciiTheme="minorHAnsi" w:hAnsiTheme="minorHAnsi" w:cstheme="minorHAnsi"/>
                <w:szCs w:val="20"/>
              </w:rPr>
              <w:t xml:space="preserve">-Tax system in a way that is consistent with the Law as was intended. </w:t>
            </w:r>
          </w:p>
          <w:p w14:paraId="4C9DEA47" w14:textId="77777777" w:rsidR="004537BE" w:rsidRPr="004537BE" w:rsidRDefault="004537BE" w:rsidP="006B2350">
            <w:pPr>
              <w:rPr>
                <w:rFonts w:cstheme="minorHAnsi"/>
                <w:sz w:val="20"/>
                <w:szCs w:val="20"/>
              </w:rPr>
            </w:pPr>
          </w:p>
          <w:p w14:paraId="61319536" w14:textId="77777777" w:rsidR="004537BE" w:rsidRPr="004537BE" w:rsidRDefault="004537BE" w:rsidP="006B2350">
            <w:pPr>
              <w:rPr>
                <w:rFonts w:cstheme="minorHAnsi"/>
                <w:sz w:val="20"/>
                <w:szCs w:val="20"/>
              </w:rPr>
            </w:pPr>
          </w:p>
          <w:p w14:paraId="46361647" w14:textId="77777777" w:rsidR="004537BE" w:rsidRPr="004537BE" w:rsidRDefault="004537BE" w:rsidP="006B2350">
            <w:pPr>
              <w:rPr>
                <w:rFonts w:cstheme="minorHAnsi"/>
                <w:sz w:val="20"/>
                <w:szCs w:val="20"/>
              </w:rPr>
            </w:pPr>
          </w:p>
        </w:tc>
        <w:tc>
          <w:tcPr>
            <w:tcW w:w="1343" w:type="pct"/>
          </w:tcPr>
          <w:p w14:paraId="24017D95" w14:textId="77777777" w:rsidR="004537BE" w:rsidRPr="004537BE" w:rsidRDefault="004537BE" w:rsidP="004537BE">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Tax payers are   forced to settle WHT and WHVAT debts through direct remittance to KRA’s bank account while offsetting other monthly tax liabilities vide RAVs. Our proposal will ensure enhanced liquidity for businesses since all tax obligations qualify to be outstanding debts as envisaged under Section 47 of the TPA.</w:t>
            </w:r>
          </w:p>
          <w:p w14:paraId="683B8429" w14:textId="77777777" w:rsidR="004537BE" w:rsidRPr="004537BE" w:rsidRDefault="004537BE" w:rsidP="006B2350">
            <w:pPr>
              <w:rPr>
                <w:rFonts w:cstheme="minorHAnsi"/>
                <w:sz w:val="20"/>
                <w:szCs w:val="20"/>
              </w:rPr>
            </w:pPr>
          </w:p>
          <w:p w14:paraId="4E49FA3A" w14:textId="77777777" w:rsidR="004537BE" w:rsidRPr="004537BE" w:rsidRDefault="004537BE" w:rsidP="006B2350">
            <w:pPr>
              <w:rPr>
                <w:rFonts w:cstheme="minorHAnsi"/>
                <w:sz w:val="20"/>
                <w:szCs w:val="20"/>
              </w:rPr>
            </w:pPr>
          </w:p>
          <w:p w14:paraId="07115B0A" w14:textId="77777777" w:rsidR="004537BE" w:rsidRPr="004537BE" w:rsidRDefault="004537BE" w:rsidP="006B2350">
            <w:pPr>
              <w:rPr>
                <w:rFonts w:cstheme="minorHAnsi"/>
                <w:sz w:val="20"/>
                <w:szCs w:val="20"/>
              </w:rPr>
            </w:pPr>
          </w:p>
          <w:p w14:paraId="3FDE4B8D" w14:textId="77777777" w:rsidR="004537BE" w:rsidRPr="004537BE" w:rsidRDefault="004537BE" w:rsidP="006B2350">
            <w:pPr>
              <w:rPr>
                <w:rFonts w:cstheme="minorHAnsi"/>
                <w:sz w:val="20"/>
                <w:szCs w:val="20"/>
              </w:rPr>
            </w:pPr>
          </w:p>
        </w:tc>
      </w:tr>
      <w:tr w:rsidR="004B58C3" w:rsidRPr="004537BE" w14:paraId="04E69097" w14:textId="77777777" w:rsidTr="005C015F">
        <w:tc>
          <w:tcPr>
            <w:tcW w:w="151" w:type="pct"/>
          </w:tcPr>
          <w:p w14:paraId="45FBE69A" w14:textId="77777777" w:rsidR="004B58C3" w:rsidRPr="004537BE" w:rsidRDefault="004B58C3" w:rsidP="005C015F">
            <w:pPr>
              <w:pStyle w:val="ListParagraph"/>
              <w:numPr>
                <w:ilvl w:val="0"/>
                <w:numId w:val="14"/>
              </w:numPr>
              <w:spacing w:after="0"/>
              <w:rPr>
                <w:rFonts w:asciiTheme="minorHAnsi" w:hAnsiTheme="minorHAnsi" w:cstheme="minorHAnsi"/>
                <w:szCs w:val="20"/>
              </w:rPr>
            </w:pPr>
          </w:p>
        </w:tc>
        <w:tc>
          <w:tcPr>
            <w:tcW w:w="915" w:type="pct"/>
          </w:tcPr>
          <w:p w14:paraId="35A5D047" w14:textId="77777777" w:rsidR="004B58C3" w:rsidRPr="004537BE" w:rsidRDefault="004B58C3" w:rsidP="004B58C3">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Section 50(b) of the Finance Bill,2025</w:t>
            </w:r>
          </w:p>
          <w:p w14:paraId="537CCE5C" w14:textId="2FCF1001" w:rsidR="004B58C3" w:rsidRPr="004537BE" w:rsidRDefault="004B58C3" w:rsidP="004B58C3">
            <w:pPr>
              <w:pStyle w:val="ListParagraph"/>
              <w:spacing w:after="0"/>
              <w:rPr>
                <w:rFonts w:asciiTheme="minorHAnsi" w:hAnsiTheme="minorHAnsi" w:cstheme="minorHAnsi"/>
                <w:szCs w:val="20"/>
              </w:rPr>
            </w:pPr>
            <w:r w:rsidRPr="004537BE">
              <w:rPr>
                <w:rFonts w:asciiTheme="minorHAnsi" w:hAnsiTheme="minorHAnsi" w:cstheme="minorHAnsi"/>
                <w:szCs w:val="20"/>
              </w:rPr>
              <w:t>Increase of the timeline (90 to 120 days) for the Commissioner to determine a refund or offset application of Overpaid Tax</w:t>
            </w:r>
          </w:p>
          <w:p w14:paraId="76059009" w14:textId="77777777" w:rsidR="004B58C3" w:rsidRPr="004537BE" w:rsidRDefault="004B58C3" w:rsidP="005C015F">
            <w:pPr>
              <w:rPr>
                <w:rFonts w:cstheme="minorHAnsi"/>
                <w:sz w:val="20"/>
                <w:szCs w:val="20"/>
              </w:rPr>
            </w:pPr>
          </w:p>
          <w:p w14:paraId="4E73A9B2" w14:textId="77777777" w:rsidR="004B58C3" w:rsidRPr="004537BE" w:rsidRDefault="004B58C3" w:rsidP="005C015F">
            <w:pPr>
              <w:rPr>
                <w:rFonts w:cstheme="minorHAnsi"/>
                <w:sz w:val="20"/>
                <w:szCs w:val="20"/>
              </w:rPr>
            </w:pPr>
          </w:p>
        </w:tc>
        <w:tc>
          <w:tcPr>
            <w:tcW w:w="1219" w:type="pct"/>
          </w:tcPr>
          <w:p w14:paraId="4EE648EB" w14:textId="77777777" w:rsidR="004B58C3" w:rsidRPr="004537BE" w:rsidRDefault="004B58C3" w:rsidP="005C015F">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Section 47(2) of the TPA provides that;</w:t>
            </w:r>
          </w:p>
          <w:p w14:paraId="7F8623AF" w14:textId="77777777" w:rsidR="004B58C3" w:rsidRPr="004537BE" w:rsidRDefault="004B58C3" w:rsidP="004B58C3">
            <w:pPr>
              <w:pStyle w:val="ListParagraph"/>
              <w:spacing w:after="0"/>
              <w:rPr>
                <w:rFonts w:asciiTheme="minorHAnsi" w:hAnsiTheme="minorHAnsi" w:cstheme="minorHAnsi"/>
                <w:szCs w:val="20"/>
              </w:rPr>
            </w:pPr>
            <w:r w:rsidRPr="004537BE">
              <w:rPr>
                <w:rFonts w:asciiTheme="minorHAnsi" w:hAnsiTheme="minorHAnsi" w:cstheme="minorHAnsi"/>
                <w:szCs w:val="20"/>
              </w:rPr>
              <w:t>(2) The Commissioner shall ascertain and determine an application under subsection (1) within ninety days and where the Commissioner ascertains that there was an overpayment of tax—</w:t>
            </w:r>
          </w:p>
          <w:p w14:paraId="5BB95592" w14:textId="77777777" w:rsidR="004B58C3" w:rsidRPr="004537BE" w:rsidRDefault="004B58C3" w:rsidP="004B58C3">
            <w:pPr>
              <w:pStyle w:val="ListParagraph"/>
              <w:spacing w:after="0"/>
              <w:rPr>
                <w:rFonts w:asciiTheme="minorHAnsi" w:hAnsiTheme="minorHAnsi" w:cstheme="minorHAnsi"/>
                <w:szCs w:val="20"/>
              </w:rPr>
            </w:pPr>
            <w:r w:rsidRPr="004537BE">
              <w:rPr>
                <w:rFonts w:asciiTheme="minorHAnsi" w:hAnsiTheme="minorHAnsi" w:cstheme="minorHAnsi"/>
                <w:szCs w:val="20"/>
              </w:rPr>
              <w:t>(a)in the case of an application under subsection (1)(a), apply the overpaid tax to such outstanding tax debts or future tax liability; and</w:t>
            </w:r>
          </w:p>
          <w:p w14:paraId="140C8013" w14:textId="304ED7CB" w:rsidR="004B58C3" w:rsidRPr="004537BE" w:rsidRDefault="004B58C3" w:rsidP="004B58C3">
            <w:pPr>
              <w:pStyle w:val="ListParagraph"/>
              <w:spacing w:after="0"/>
              <w:rPr>
                <w:rFonts w:asciiTheme="minorHAnsi" w:hAnsiTheme="minorHAnsi" w:cstheme="minorHAnsi"/>
                <w:szCs w:val="20"/>
              </w:rPr>
            </w:pPr>
            <w:r w:rsidRPr="004537BE">
              <w:rPr>
                <w:rFonts w:asciiTheme="minorHAnsi" w:hAnsiTheme="minorHAnsi" w:cstheme="minorHAnsi"/>
                <w:szCs w:val="20"/>
              </w:rPr>
              <w:t>(b)in the case of an application under subsection (1)(b), refund the overpaid tax within a period of six months from the date of ascertainment and, if the Commissioner fails to refund, the overpaid tax shall be applied to offset the taxpayer’s outstanding tax debt or future tax liabilities.</w:t>
            </w:r>
          </w:p>
          <w:p w14:paraId="3E9A0D6D" w14:textId="77777777" w:rsidR="004B58C3" w:rsidRPr="004537BE" w:rsidRDefault="004B58C3" w:rsidP="005C015F">
            <w:pPr>
              <w:rPr>
                <w:rFonts w:cstheme="minorHAnsi"/>
                <w:sz w:val="20"/>
                <w:szCs w:val="20"/>
              </w:rPr>
            </w:pPr>
          </w:p>
          <w:p w14:paraId="3701F51A" w14:textId="3231B680" w:rsidR="004B58C3" w:rsidRPr="004537BE" w:rsidRDefault="004B58C3" w:rsidP="004B58C3">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 xml:space="preserve">This section ensures that Commissioner decides on an application within 90 days to ensure the taxpayer can utilize or get a refund for valid </w:t>
            </w:r>
            <w:r w:rsidRPr="004537BE">
              <w:rPr>
                <w:rFonts w:asciiTheme="minorHAnsi" w:hAnsiTheme="minorHAnsi" w:cstheme="minorHAnsi"/>
                <w:szCs w:val="20"/>
              </w:rPr>
              <w:lastRenderedPageBreak/>
              <w:t>tax overpayments within the shortest time possible.</w:t>
            </w:r>
          </w:p>
        </w:tc>
        <w:tc>
          <w:tcPr>
            <w:tcW w:w="1372" w:type="pct"/>
          </w:tcPr>
          <w:p w14:paraId="6124AC80" w14:textId="77777777" w:rsidR="004B58C3" w:rsidRPr="004537BE" w:rsidRDefault="004B58C3" w:rsidP="004B58C3">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lastRenderedPageBreak/>
              <w:t>Delete Section 50 (b) of the Finance Bill that seeks to increase the timeline for the Commissioner to determine a refund or offset application of overpaid tax from the current 90 days to 120 days.</w:t>
            </w:r>
          </w:p>
        </w:tc>
        <w:tc>
          <w:tcPr>
            <w:tcW w:w="1343" w:type="pct"/>
            <w:vMerge w:val="restart"/>
          </w:tcPr>
          <w:p w14:paraId="47AAA593" w14:textId="77777777" w:rsidR="004B58C3" w:rsidRPr="004537BE" w:rsidRDefault="004B58C3" w:rsidP="005C015F">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Section 47(2) of the Tax Procedures Act provides a clear, time-bound framework within which the Commissioner is required to ascertain and determine an application for a tax refund or application of offset of overpaid tax, specifically within 90 days. This provision is essential for promoting efficiency, certainty, and fairness in tax administration.</w:t>
            </w:r>
          </w:p>
          <w:p w14:paraId="0F510E0A" w14:textId="77777777" w:rsidR="004B58C3" w:rsidRPr="004537BE" w:rsidRDefault="004B58C3" w:rsidP="005C015F">
            <w:pPr>
              <w:pStyle w:val="ListParagraph"/>
              <w:numPr>
                <w:ilvl w:val="0"/>
                <w:numId w:val="30"/>
              </w:numPr>
              <w:spacing w:after="0"/>
              <w:rPr>
                <w:rFonts w:asciiTheme="minorHAnsi" w:hAnsiTheme="minorHAnsi" w:cstheme="minorHAnsi"/>
                <w:szCs w:val="20"/>
              </w:rPr>
            </w:pPr>
            <w:r w:rsidRPr="004537BE">
              <w:rPr>
                <w:rFonts w:asciiTheme="minorHAnsi" w:hAnsiTheme="minorHAnsi" w:cstheme="minorHAnsi"/>
                <w:szCs w:val="20"/>
              </w:rPr>
              <w:t>Extending the determination period from 90 to 120 days would adversely affect taxpayers by delaying access to legitimate refunds or offset of overpaid tax against outstanding or future liabilities. Many businesses and individuals rely on timely refunds to manage cash flows. Retention of the 90-day period will;</w:t>
            </w:r>
          </w:p>
          <w:p w14:paraId="7D459A5B" w14:textId="77777777" w:rsidR="004B58C3" w:rsidRPr="004537BE" w:rsidRDefault="004B58C3" w:rsidP="004B58C3">
            <w:pPr>
              <w:pStyle w:val="ListParagraph"/>
              <w:numPr>
                <w:ilvl w:val="1"/>
                <w:numId w:val="30"/>
              </w:numPr>
              <w:spacing w:after="0"/>
              <w:rPr>
                <w:rFonts w:asciiTheme="minorHAnsi" w:hAnsiTheme="minorHAnsi" w:cstheme="minorHAnsi"/>
                <w:szCs w:val="20"/>
              </w:rPr>
            </w:pPr>
            <w:r w:rsidRPr="004537BE">
              <w:rPr>
                <w:rFonts w:asciiTheme="minorHAnsi" w:hAnsiTheme="minorHAnsi" w:cstheme="minorHAnsi"/>
                <w:szCs w:val="20"/>
              </w:rPr>
              <w:t>Promote administrative efficiency within the Kenya Revenue Authority (KRA), ensuring that taxpayer claims are processed promptly and not subjected to unnecessary delays.</w:t>
            </w:r>
          </w:p>
          <w:p w14:paraId="32C3E665" w14:textId="77777777" w:rsidR="004B58C3" w:rsidRPr="004537BE" w:rsidRDefault="004B58C3" w:rsidP="004B58C3">
            <w:pPr>
              <w:pStyle w:val="ListParagraph"/>
              <w:numPr>
                <w:ilvl w:val="1"/>
                <w:numId w:val="30"/>
              </w:numPr>
              <w:spacing w:after="0"/>
              <w:rPr>
                <w:rFonts w:asciiTheme="minorHAnsi" w:hAnsiTheme="minorHAnsi" w:cstheme="minorHAnsi"/>
                <w:szCs w:val="20"/>
              </w:rPr>
            </w:pPr>
            <w:r w:rsidRPr="004537BE">
              <w:rPr>
                <w:rFonts w:asciiTheme="minorHAnsi" w:hAnsiTheme="minorHAnsi" w:cstheme="minorHAnsi"/>
                <w:szCs w:val="20"/>
              </w:rPr>
              <w:t xml:space="preserve">Supports taxpayer rights by upholding fair </w:t>
            </w:r>
            <w:r w:rsidRPr="004537BE">
              <w:rPr>
                <w:rFonts w:asciiTheme="minorHAnsi" w:hAnsiTheme="minorHAnsi" w:cstheme="minorHAnsi"/>
                <w:szCs w:val="20"/>
              </w:rPr>
              <w:lastRenderedPageBreak/>
              <w:t>treatment and timely recourse in cases of overpayment.</w:t>
            </w:r>
          </w:p>
          <w:p w14:paraId="292ED678" w14:textId="0398D2B1" w:rsidR="004B58C3" w:rsidRPr="004537BE" w:rsidRDefault="004B58C3" w:rsidP="005C015F">
            <w:pPr>
              <w:pStyle w:val="ListParagraph"/>
              <w:numPr>
                <w:ilvl w:val="1"/>
                <w:numId w:val="30"/>
              </w:numPr>
              <w:spacing w:after="0"/>
              <w:rPr>
                <w:rFonts w:asciiTheme="minorHAnsi" w:hAnsiTheme="minorHAnsi" w:cstheme="minorHAnsi"/>
                <w:szCs w:val="20"/>
              </w:rPr>
            </w:pPr>
            <w:r w:rsidRPr="004537BE">
              <w:rPr>
                <w:rFonts w:asciiTheme="minorHAnsi" w:hAnsiTheme="minorHAnsi" w:cstheme="minorHAnsi"/>
                <w:szCs w:val="20"/>
              </w:rPr>
              <w:t>Aligns with good international practices, where tax authorities are encouraged to resolve refund claims quickly to avoid unduly retaining taxpayer funds.</w:t>
            </w:r>
          </w:p>
        </w:tc>
      </w:tr>
      <w:tr w:rsidR="004B58C3" w:rsidRPr="004537BE" w14:paraId="244008EB" w14:textId="77777777" w:rsidTr="005C015F">
        <w:tc>
          <w:tcPr>
            <w:tcW w:w="151" w:type="pct"/>
          </w:tcPr>
          <w:p w14:paraId="1C459FEA" w14:textId="77777777" w:rsidR="004B58C3" w:rsidRPr="004537BE" w:rsidRDefault="004B58C3" w:rsidP="005C015F">
            <w:pPr>
              <w:pStyle w:val="ListParagraph"/>
              <w:numPr>
                <w:ilvl w:val="0"/>
                <w:numId w:val="14"/>
              </w:numPr>
              <w:spacing w:after="0"/>
              <w:rPr>
                <w:rFonts w:asciiTheme="minorHAnsi" w:hAnsiTheme="minorHAnsi" w:cstheme="minorHAnsi"/>
                <w:szCs w:val="20"/>
              </w:rPr>
            </w:pPr>
          </w:p>
        </w:tc>
        <w:tc>
          <w:tcPr>
            <w:tcW w:w="915" w:type="pct"/>
          </w:tcPr>
          <w:p w14:paraId="51C96BA9" w14:textId="77777777" w:rsidR="004B58C3" w:rsidRPr="004537BE" w:rsidRDefault="004B58C3" w:rsidP="005C015F">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Section 50(c) of the Finance Bill,2025</w:t>
            </w:r>
          </w:p>
          <w:p w14:paraId="4D05ED10" w14:textId="7B60F5FA" w:rsidR="004B58C3" w:rsidRPr="004537BE" w:rsidRDefault="004B58C3" w:rsidP="004B58C3">
            <w:pPr>
              <w:pStyle w:val="ListParagraph"/>
              <w:spacing w:after="0"/>
              <w:rPr>
                <w:rFonts w:asciiTheme="minorHAnsi" w:hAnsiTheme="minorHAnsi" w:cstheme="minorHAnsi"/>
                <w:szCs w:val="20"/>
              </w:rPr>
            </w:pPr>
            <w:r w:rsidRPr="004537BE">
              <w:rPr>
                <w:rFonts w:asciiTheme="minorHAnsi" w:hAnsiTheme="minorHAnsi" w:cstheme="minorHAnsi"/>
                <w:szCs w:val="20"/>
              </w:rPr>
              <w:t>Increase of the timeline (120 to 180 days) for the Commissioner to determine a refund or offset application of Overpaid Tax where the refund or offset application is subjected to an audit.</w:t>
            </w:r>
          </w:p>
        </w:tc>
        <w:tc>
          <w:tcPr>
            <w:tcW w:w="1219" w:type="pct"/>
          </w:tcPr>
          <w:p w14:paraId="4F672585" w14:textId="77777777" w:rsidR="004B58C3" w:rsidRPr="004537BE" w:rsidRDefault="004B58C3" w:rsidP="005C015F">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Section 47(4A) of the TPA provides that;</w:t>
            </w:r>
          </w:p>
          <w:p w14:paraId="70373FD3" w14:textId="77777777" w:rsidR="004B58C3" w:rsidRPr="004537BE" w:rsidRDefault="004B58C3" w:rsidP="004B58C3">
            <w:pPr>
              <w:pStyle w:val="ListParagraph"/>
              <w:spacing w:after="0"/>
              <w:rPr>
                <w:rFonts w:asciiTheme="minorHAnsi" w:hAnsiTheme="minorHAnsi" w:cstheme="minorHAnsi"/>
                <w:szCs w:val="20"/>
              </w:rPr>
            </w:pPr>
          </w:p>
          <w:p w14:paraId="605C0852" w14:textId="43174ECF" w:rsidR="004B58C3" w:rsidRPr="004537BE" w:rsidRDefault="004B58C3" w:rsidP="004B58C3">
            <w:pPr>
              <w:pStyle w:val="ListParagraph"/>
              <w:spacing w:after="0"/>
              <w:rPr>
                <w:rFonts w:asciiTheme="minorHAnsi" w:hAnsiTheme="minorHAnsi" w:cstheme="minorHAnsi"/>
                <w:szCs w:val="20"/>
              </w:rPr>
            </w:pPr>
            <w:r w:rsidRPr="004537BE">
              <w:rPr>
                <w:rFonts w:asciiTheme="minorHAnsi" w:hAnsiTheme="minorHAnsi" w:cstheme="minorHAnsi"/>
                <w:szCs w:val="20"/>
              </w:rPr>
              <w:t>(4A) Where an application under subsection (1) has been subjected to an audit under subsection (4), the Commissioner shall ascertain and determine the application within one hundred- and twenty-days failure to which, the application shall be deemed to have been ascertained and approved.</w:t>
            </w:r>
          </w:p>
        </w:tc>
        <w:tc>
          <w:tcPr>
            <w:tcW w:w="1372" w:type="pct"/>
          </w:tcPr>
          <w:p w14:paraId="45B81837" w14:textId="77777777" w:rsidR="004B58C3" w:rsidRPr="004537BE" w:rsidRDefault="004B58C3" w:rsidP="004B58C3">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Delete Section 50 (C) of the Finance Bill,2025 that seeks to increase the timeline for the Commissioner to determine a refund or offset application of overpaid tax from the current 120 days to 180 days where the refund or offset application is subjected to an audit.</w:t>
            </w:r>
          </w:p>
        </w:tc>
        <w:tc>
          <w:tcPr>
            <w:tcW w:w="1343" w:type="pct"/>
            <w:vMerge/>
          </w:tcPr>
          <w:p w14:paraId="4285DB6F" w14:textId="77777777" w:rsidR="004B58C3" w:rsidRPr="004537BE" w:rsidRDefault="004B58C3" w:rsidP="005C015F">
            <w:pPr>
              <w:rPr>
                <w:rFonts w:cstheme="minorHAnsi"/>
                <w:sz w:val="20"/>
                <w:szCs w:val="20"/>
              </w:rPr>
            </w:pPr>
          </w:p>
        </w:tc>
      </w:tr>
      <w:tr w:rsidR="006B7B8E" w:rsidRPr="004537BE" w14:paraId="7513D1E3" w14:textId="77777777" w:rsidTr="005C015F">
        <w:tc>
          <w:tcPr>
            <w:tcW w:w="151" w:type="pct"/>
          </w:tcPr>
          <w:p w14:paraId="47A2DFCF" w14:textId="77777777" w:rsidR="006B7B8E" w:rsidRPr="004537BE" w:rsidRDefault="006B7B8E" w:rsidP="005C015F">
            <w:pPr>
              <w:pStyle w:val="ListParagraph"/>
              <w:numPr>
                <w:ilvl w:val="0"/>
                <w:numId w:val="14"/>
              </w:numPr>
              <w:spacing w:after="0"/>
              <w:rPr>
                <w:rFonts w:asciiTheme="minorHAnsi" w:hAnsiTheme="minorHAnsi" w:cstheme="minorHAnsi"/>
                <w:szCs w:val="20"/>
              </w:rPr>
            </w:pPr>
          </w:p>
        </w:tc>
        <w:tc>
          <w:tcPr>
            <w:tcW w:w="915" w:type="pct"/>
          </w:tcPr>
          <w:p w14:paraId="64B30DA6" w14:textId="77777777" w:rsidR="004B58C3" w:rsidRPr="004537BE" w:rsidRDefault="006B7B8E" w:rsidP="005C015F">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Section 52 of Finance Bill,2025 proposes to amend Section 59A of the Tax Procedures Act by deleting subsection (1B)</w:t>
            </w:r>
          </w:p>
          <w:p w14:paraId="5CD2DD56" w14:textId="506C4580" w:rsidR="006B7B8E" w:rsidRPr="004537BE" w:rsidRDefault="006B7B8E" w:rsidP="004B58C3">
            <w:pPr>
              <w:pStyle w:val="ListParagraph"/>
              <w:spacing w:after="0"/>
              <w:ind w:left="360"/>
              <w:rPr>
                <w:rFonts w:asciiTheme="minorHAnsi" w:hAnsiTheme="minorHAnsi" w:cstheme="minorHAnsi"/>
                <w:szCs w:val="20"/>
              </w:rPr>
            </w:pPr>
            <w:r w:rsidRPr="004537BE">
              <w:rPr>
                <w:rFonts w:asciiTheme="minorHAnsi" w:hAnsiTheme="minorHAnsi" w:cstheme="minorHAnsi"/>
                <w:szCs w:val="20"/>
              </w:rPr>
              <w:t>Requirement to share private or personal data and trade secrets of customers.</w:t>
            </w:r>
          </w:p>
        </w:tc>
        <w:tc>
          <w:tcPr>
            <w:tcW w:w="1219" w:type="pct"/>
          </w:tcPr>
          <w:p w14:paraId="4E470356" w14:textId="77777777" w:rsidR="00AC5A1A" w:rsidRPr="004537BE" w:rsidRDefault="006B7B8E" w:rsidP="005C015F">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Section 59A (1B) of the Tax Procedures Act provides that;</w:t>
            </w:r>
          </w:p>
          <w:p w14:paraId="550B2C23" w14:textId="77777777" w:rsidR="00AC5A1A" w:rsidRPr="004537BE" w:rsidRDefault="006B7B8E" w:rsidP="00AC5A1A">
            <w:pPr>
              <w:pStyle w:val="ListParagraph"/>
              <w:spacing w:after="0"/>
              <w:ind w:left="360"/>
              <w:rPr>
                <w:rFonts w:asciiTheme="minorHAnsi" w:hAnsiTheme="minorHAnsi" w:cstheme="minorHAnsi"/>
                <w:szCs w:val="20"/>
              </w:rPr>
            </w:pPr>
            <w:r w:rsidRPr="004537BE">
              <w:rPr>
                <w:rFonts w:asciiTheme="minorHAnsi" w:hAnsiTheme="minorHAnsi" w:cstheme="minorHAnsi"/>
                <w:szCs w:val="20"/>
              </w:rPr>
              <w:t>(1B) The Commissioner shall not require a person to integrate or share data relating to—</w:t>
            </w:r>
          </w:p>
          <w:p w14:paraId="4DD028F3" w14:textId="77777777" w:rsidR="00AC5A1A" w:rsidRPr="004537BE" w:rsidRDefault="006B7B8E" w:rsidP="00AC5A1A">
            <w:pPr>
              <w:pStyle w:val="ListParagraph"/>
              <w:spacing w:after="0"/>
              <w:ind w:left="360"/>
              <w:rPr>
                <w:rFonts w:asciiTheme="minorHAnsi" w:hAnsiTheme="minorHAnsi" w:cstheme="minorHAnsi"/>
                <w:szCs w:val="20"/>
              </w:rPr>
            </w:pPr>
            <w:r w:rsidRPr="004537BE">
              <w:rPr>
                <w:rFonts w:asciiTheme="minorHAnsi" w:hAnsiTheme="minorHAnsi" w:cstheme="minorHAnsi"/>
                <w:szCs w:val="20"/>
              </w:rPr>
              <w:t>(a) trade secrets; and</w:t>
            </w:r>
          </w:p>
          <w:p w14:paraId="19CCCA29" w14:textId="777B3C95" w:rsidR="006B7B8E" w:rsidRPr="004537BE" w:rsidRDefault="006B7B8E" w:rsidP="00AC5A1A">
            <w:pPr>
              <w:pStyle w:val="ListParagraph"/>
              <w:spacing w:after="0"/>
              <w:ind w:left="360"/>
              <w:rPr>
                <w:rFonts w:asciiTheme="minorHAnsi" w:hAnsiTheme="minorHAnsi" w:cstheme="minorHAnsi"/>
                <w:szCs w:val="20"/>
              </w:rPr>
            </w:pPr>
            <w:r w:rsidRPr="004537BE">
              <w:rPr>
                <w:rFonts w:asciiTheme="minorHAnsi" w:hAnsiTheme="minorHAnsi" w:cstheme="minorHAnsi"/>
                <w:szCs w:val="20"/>
              </w:rPr>
              <w:t>(b)private or personal data held on behalf of customers or collected in the course of business.</w:t>
            </w:r>
          </w:p>
          <w:p w14:paraId="60744BE7" w14:textId="77777777" w:rsidR="006B7B8E" w:rsidRPr="004537BE" w:rsidRDefault="006B7B8E" w:rsidP="005C015F">
            <w:pPr>
              <w:rPr>
                <w:rFonts w:cstheme="minorHAnsi"/>
                <w:sz w:val="20"/>
                <w:szCs w:val="20"/>
              </w:rPr>
            </w:pPr>
          </w:p>
          <w:p w14:paraId="6890C1EB" w14:textId="77777777" w:rsidR="006B7B8E" w:rsidRPr="004537BE" w:rsidRDefault="006B7B8E" w:rsidP="00AC5A1A">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This clause ensures confidentiality of personal or private data and trade secrets are safeguarded.</w:t>
            </w:r>
          </w:p>
        </w:tc>
        <w:tc>
          <w:tcPr>
            <w:tcW w:w="1372" w:type="pct"/>
          </w:tcPr>
          <w:p w14:paraId="6F81B1E0" w14:textId="77777777" w:rsidR="00AC5A1A" w:rsidRPr="004537BE" w:rsidRDefault="006B7B8E" w:rsidP="005C015F">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We propose to continue safeguarding and protecting customer personal data and trade secrets by:</w:t>
            </w:r>
          </w:p>
          <w:p w14:paraId="3F205095" w14:textId="77777777" w:rsidR="00AC5A1A" w:rsidRPr="004537BE" w:rsidRDefault="00AC5A1A" w:rsidP="00AC5A1A">
            <w:pPr>
              <w:pStyle w:val="ListParagraph"/>
              <w:spacing w:after="0"/>
              <w:ind w:left="360"/>
              <w:rPr>
                <w:rFonts w:asciiTheme="minorHAnsi" w:hAnsiTheme="minorHAnsi" w:cstheme="minorHAnsi"/>
                <w:szCs w:val="20"/>
              </w:rPr>
            </w:pPr>
          </w:p>
          <w:p w14:paraId="1A1AE6E8" w14:textId="5D91D835" w:rsidR="006B7B8E" w:rsidRPr="004537BE" w:rsidRDefault="006B7B8E" w:rsidP="00AC5A1A">
            <w:pPr>
              <w:pStyle w:val="ListParagraph"/>
              <w:spacing w:after="0"/>
              <w:ind w:left="360"/>
              <w:rPr>
                <w:rFonts w:asciiTheme="minorHAnsi" w:hAnsiTheme="minorHAnsi" w:cstheme="minorHAnsi"/>
                <w:szCs w:val="20"/>
              </w:rPr>
            </w:pPr>
            <w:r w:rsidRPr="004537BE">
              <w:rPr>
                <w:rFonts w:asciiTheme="minorHAnsi" w:hAnsiTheme="minorHAnsi" w:cstheme="minorHAnsi"/>
                <w:szCs w:val="20"/>
              </w:rPr>
              <w:t>Deleting Section 52 of the Finance Bill,2025</w:t>
            </w:r>
          </w:p>
        </w:tc>
        <w:tc>
          <w:tcPr>
            <w:tcW w:w="1343" w:type="pct"/>
          </w:tcPr>
          <w:p w14:paraId="53FFA403" w14:textId="77777777" w:rsidR="00AC5A1A" w:rsidRPr="004537BE" w:rsidRDefault="006B7B8E" w:rsidP="005C015F">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The banking business is fundamentally built on trust, security, and the confidentiality of customer information.</w:t>
            </w:r>
          </w:p>
          <w:p w14:paraId="580923B0" w14:textId="77777777" w:rsidR="00AC5A1A" w:rsidRPr="004537BE" w:rsidRDefault="006B7B8E" w:rsidP="005C015F">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The proposed amendment to delete Section 59A(1B) of the Tax Procedures Act, 2015(which currently protects businesses from mandatory system integrations that could expose trade secrets or personal customer data) poses significant risks to the financial services sector.</w:t>
            </w:r>
          </w:p>
          <w:p w14:paraId="2B853DB4" w14:textId="77777777" w:rsidR="00AC5A1A" w:rsidRPr="004537BE" w:rsidRDefault="006B7B8E" w:rsidP="005C015F">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 xml:space="preserve">If enacted, the proposed deletion of Section 59A(1B) of TPA will compel banks and financial institutions to share sensitive customer data and proprietary information with the </w:t>
            </w:r>
            <w:r w:rsidRPr="004537BE">
              <w:rPr>
                <w:rFonts w:asciiTheme="minorHAnsi" w:hAnsiTheme="minorHAnsi" w:cstheme="minorHAnsi"/>
                <w:szCs w:val="20"/>
              </w:rPr>
              <w:lastRenderedPageBreak/>
              <w:t>Kenya Revenue Authority (KRA), with the following implications.</w:t>
            </w:r>
          </w:p>
          <w:p w14:paraId="0C97D1E1" w14:textId="77777777" w:rsidR="00AC5A1A" w:rsidRPr="004537BE" w:rsidRDefault="006B7B8E" w:rsidP="005C015F">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Customer Trust Concerns</w:t>
            </w:r>
            <w:r w:rsidR="00AC5A1A" w:rsidRPr="004537BE">
              <w:rPr>
                <w:rFonts w:asciiTheme="minorHAnsi" w:hAnsiTheme="minorHAnsi" w:cstheme="minorHAnsi"/>
                <w:szCs w:val="20"/>
              </w:rPr>
              <w:t xml:space="preserve">. </w:t>
            </w:r>
            <w:r w:rsidRPr="004537BE">
              <w:rPr>
                <w:rFonts w:asciiTheme="minorHAnsi" w:hAnsiTheme="minorHAnsi" w:cstheme="minorHAnsi"/>
                <w:szCs w:val="20"/>
              </w:rPr>
              <w:t>The forced disclosure of personal data and trade secrets to KRA will be perceived by customers as a breach of privacy. This erosion of confidentiality undermines one of the core tenets of the banking relationship, trust.</w:t>
            </w:r>
          </w:p>
          <w:p w14:paraId="789E8A6B" w14:textId="77777777" w:rsidR="00AC5A1A" w:rsidRPr="004537BE" w:rsidRDefault="006B7B8E" w:rsidP="005C015F">
            <w:pPr>
              <w:pStyle w:val="ListParagraph"/>
              <w:numPr>
                <w:ilvl w:val="0"/>
                <w:numId w:val="31"/>
              </w:numPr>
              <w:spacing w:after="0"/>
              <w:rPr>
                <w:rFonts w:asciiTheme="minorHAnsi" w:hAnsiTheme="minorHAnsi" w:cstheme="minorHAnsi"/>
                <w:szCs w:val="20"/>
              </w:rPr>
            </w:pPr>
            <w:r w:rsidRPr="004537BE">
              <w:rPr>
                <w:rFonts w:asciiTheme="minorHAnsi" w:hAnsiTheme="minorHAnsi" w:cstheme="minorHAnsi"/>
                <w:szCs w:val="20"/>
              </w:rPr>
              <w:t>According to the Kenya Bankers Association Customer Satisfaction Survey Report (2024</w:t>
            </w:r>
            <w:proofErr w:type="gramStart"/>
            <w:r w:rsidRPr="004537BE">
              <w:rPr>
                <w:rFonts w:asciiTheme="minorHAnsi" w:hAnsiTheme="minorHAnsi" w:cstheme="minorHAnsi"/>
                <w:szCs w:val="20"/>
              </w:rPr>
              <w:t>) ,</w:t>
            </w:r>
            <w:proofErr w:type="gramEnd"/>
            <w:r w:rsidRPr="004537BE">
              <w:rPr>
                <w:rFonts w:asciiTheme="minorHAnsi" w:hAnsiTheme="minorHAnsi" w:cstheme="minorHAnsi"/>
                <w:szCs w:val="20"/>
              </w:rPr>
              <w:t xml:space="preserve"> 32.67% of bank customers cited concerns over data security as a reason for switching banking services. This proposed amendment is expected to exacerbate those concerns, potentially leading to:</w:t>
            </w:r>
          </w:p>
          <w:p w14:paraId="174F627C" w14:textId="77777777" w:rsidR="00AC5A1A" w:rsidRPr="004537BE" w:rsidRDefault="006B7B8E" w:rsidP="00AC5A1A">
            <w:pPr>
              <w:pStyle w:val="ListParagraph"/>
              <w:numPr>
                <w:ilvl w:val="1"/>
                <w:numId w:val="31"/>
              </w:numPr>
              <w:spacing w:after="0"/>
              <w:rPr>
                <w:rFonts w:asciiTheme="minorHAnsi" w:hAnsiTheme="minorHAnsi" w:cstheme="minorHAnsi"/>
                <w:szCs w:val="20"/>
              </w:rPr>
            </w:pPr>
            <w:r w:rsidRPr="004537BE">
              <w:rPr>
                <w:rFonts w:asciiTheme="minorHAnsi" w:hAnsiTheme="minorHAnsi" w:cstheme="minorHAnsi"/>
                <w:szCs w:val="20"/>
              </w:rPr>
              <w:t>Increased customer attrition.</w:t>
            </w:r>
          </w:p>
          <w:p w14:paraId="1F4572C0" w14:textId="77777777" w:rsidR="00AC5A1A" w:rsidRPr="004537BE" w:rsidRDefault="006B7B8E" w:rsidP="005C015F">
            <w:pPr>
              <w:pStyle w:val="ListParagraph"/>
              <w:numPr>
                <w:ilvl w:val="1"/>
                <w:numId w:val="31"/>
              </w:numPr>
              <w:spacing w:after="0"/>
              <w:rPr>
                <w:rFonts w:asciiTheme="minorHAnsi" w:hAnsiTheme="minorHAnsi" w:cstheme="minorHAnsi"/>
                <w:szCs w:val="20"/>
              </w:rPr>
            </w:pPr>
            <w:r w:rsidRPr="004537BE">
              <w:rPr>
                <w:rFonts w:asciiTheme="minorHAnsi" w:hAnsiTheme="minorHAnsi" w:cstheme="minorHAnsi"/>
                <w:szCs w:val="20"/>
              </w:rPr>
              <w:t>A shift from formal banking systems to informal financial mechanisms due to perceived risks around data exposure.</w:t>
            </w:r>
          </w:p>
          <w:p w14:paraId="137C4502" w14:textId="77777777" w:rsidR="00AC5A1A" w:rsidRPr="004537BE" w:rsidRDefault="006B7B8E" w:rsidP="005C015F">
            <w:pPr>
              <w:pStyle w:val="ListParagraph"/>
              <w:numPr>
                <w:ilvl w:val="1"/>
                <w:numId w:val="31"/>
              </w:numPr>
              <w:spacing w:after="0"/>
              <w:rPr>
                <w:rFonts w:asciiTheme="minorHAnsi" w:hAnsiTheme="minorHAnsi" w:cstheme="minorHAnsi"/>
                <w:szCs w:val="20"/>
              </w:rPr>
            </w:pPr>
            <w:r w:rsidRPr="004537BE">
              <w:rPr>
                <w:rFonts w:asciiTheme="minorHAnsi" w:hAnsiTheme="minorHAnsi" w:cstheme="minorHAnsi"/>
                <w:szCs w:val="20"/>
              </w:rPr>
              <w:t>A negative impact on financial inclusion efforts, as customers will opt to remain unbanked to safeguard their privacy.</w:t>
            </w:r>
          </w:p>
          <w:p w14:paraId="07ED31EF" w14:textId="5A5BEC12" w:rsidR="006B7B8E" w:rsidRPr="004537BE" w:rsidRDefault="006B7B8E" w:rsidP="005C015F">
            <w:pPr>
              <w:pStyle w:val="ListParagraph"/>
              <w:numPr>
                <w:ilvl w:val="1"/>
                <w:numId w:val="31"/>
              </w:numPr>
              <w:spacing w:after="0"/>
              <w:rPr>
                <w:rFonts w:asciiTheme="minorHAnsi" w:hAnsiTheme="minorHAnsi" w:cstheme="minorHAnsi"/>
                <w:szCs w:val="20"/>
              </w:rPr>
            </w:pPr>
            <w:r w:rsidRPr="004537BE">
              <w:rPr>
                <w:rFonts w:asciiTheme="minorHAnsi" w:hAnsiTheme="minorHAnsi" w:cstheme="minorHAnsi"/>
                <w:szCs w:val="20"/>
              </w:rPr>
              <w:t>Risk of Non-Compliance with Data Protection Laws</w:t>
            </w:r>
          </w:p>
          <w:p w14:paraId="31A16464" w14:textId="77777777" w:rsidR="006B7B8E" w:rsidRPr="004537BE" w:rsidRDefault="006B7B8E" w:rsidP="005C015F">
            <w:pPr>
              <w:rPr>
                <w:rFonts w:cstheme="minorHAnsi"/>
                <w:sz w:val="20"/>
                <w:szCs w:val="20"/>
              </w:rPr>
            </w:pPr>
            <w:r w:rsidRPr="004537BE">
              <w:rPr>
                <w:rFonts w:cstheme="minorHAnsi"/>
                <w:sz w:val="20"/>
                <w:szCs w:val="20"/>
              </w:rPr>
              <w:t>The amendment conflicts with existing provisions of the Data Protection Act, 2019, which mandates businesses to:</w:t>
            </w:r>
          </w:p>
          <w:p w14:paraId="4666F7CB" w14:textId="77777777" w:rsidR="00AC5A1A" w:rsidRPr="004537BE" w:rsidRDefault="006B7B8E" w:rsidP="005C015F">
            <w:pPr>
              <w:pStyle w:val="ListParagraph"/>
              <w:numPr>
                <w:ilvl w:val="0"/>
                <w:numId w:val="32"/>
              </w:numPr>
              <w:spacing w:after="0"/>
              <w:rPr>
                <w:rFonts w:asciiTheme="minorHAnsi" w:hAnsiTheme="minorHAnsi" w:cstheme="minorHAnsi"/>
                <w:szCs w:val="20"/>
              </w:rPr>
            </w:pPr>
            <w:r w:rsidRPr="004537BE">
              <w:rPr>
                <w:rFonts w:asciiTheme="minorHAnsi" w:hAnsiTheme="minorHAnsi" w:cstheme="minorHAnsi"/>
                <w:szCs w:val="20"/>
              </w:rPr>
              <w:t>Obtain explicit consent before sharing personal data.</w:t>
            </w:r>
          </w:p>
          <w:p w14:paraId="03500429" w14:textId="77777777" w:rsidR="00AC5A1A" w:rsidRPr="004537BE" w:rsidRDefault="006B7B8E" w:rsidP="005C015F">
            <w:pPr>
              <w:pStyle w:val="ListParagraph"/>
              <w:numPr>
                <w:ilvl w:val="0"/>
                <w:numId w:val="32"/>
              </w:numPr>
              <w:spacing w:after="0"/>
              <w:rPr>
                <w:rFonts w:asciiTheme="minorHAnsi" w:hAnsiTheme="minorHAnsi" w:cstheme="minorHAnsi"/>
                <w:szCs w:val="20"/>
              </w:rPr>
            </w:pPr>
            <w:r w:rsidRPr="004537BE">
              <w:rPr>
                <w:rFonts w:asciiTheme="minorHAnsi" w:hAnsiTheme="minorHAnsi" w:cstheme="minorHAnsi"/>
                <w:szCs w:val="20"/>
              </w:rPr>
              <w:lastRenderedPageBreak/>
              <w:t>Protect individuals’ data privacy with appropriate safeguards.</w:t>
            </w:r>
          </w:p>
          <w:p w14:paraId="1C8081BB" w14:textId="4CE188F5" w:rsidR="006B7B8E" w:rsidRPr="004537BE" w:rsidRDefault="006B7B8E" w:rsidP="005C015F">
            <w:pPr>
              <w:pStyle w:val="ListParagraph"/>
              <w:numPr>
                <w:ilvl w:val="0"/>
                <w:numId w:val="32"/>
              </w:numPr>
              <w:spacing w:after="0"/>
              <w:rPr>
                <w:rFonts w:asciiTheme="minorHAnsi" w:hAnsiTheme="minorHAnsi" w:cstheme="minorHAnsi"/>
                <w:szCs w:val="20"/>
              </w:rPr>
            </w:pPr>
            <w:r w:rsidRPr="004537BE">
              <w:rPr>
                <w:rFonts w:asciiTheme="minorHAnsi" w:hAnsiTheme="minorHAnsi" w:cstheme="minorHAnsi"/>
                <w:szCs w:val="20"/>
              </w:rPr>
              <w:t>Maintain clear accountability for the use and disclosure of such data.</w:t>
            </w:r>
          </w:p>
          <w:p w14:paraId="0A6B84CC" w14:textId="77777777" w:rsidR="00AC5A1A" w:rsidRPr="004537BE" w:rsidRDefault="006B7B8E" w:rsidP="005C015F">
            <w:pPr>
              <w:rPr>
                <w:rFonts w:cstheme="minorHAnsi"/>
                <w:sz w:val="20"/>
                <w:szCs w:val="20"/>
              </w:rPr>
            </w:pPr>
            <w:r w:rsidRPr="004537BE">
              <w:rPr>
                <w:rFonts w:cstheme="minorHAnsi"/>
                <w:sz w:val="20"/>
                <w:szCs w:val="20"/>
              </w:rPr>
              <w:t>Compliance with both the proposed sharing of private data and trade secrets regime with KRA and the Data Protection Act would place banks in a legal and operational dilemma. In response, banks would be forced to:</w:t>
            </w:r>
          </w:p>
          <w:p w14:paraId="07B18D53" w14:textId="77777777" w:rsidR="00AC5A1A" w:rsidRPr="004537BE" w:rsidRDefault="006B7B8E" w:rsidP="005C015F">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Undertake a comprehensive legal review of all existing customer contracts.</w:t>
            </w:r>
          </w:p>
          <w:p w14:paraId="31A69D20" w14:textId="77777777" w:rsidR="00AC5A1A" w:rsidRPr="004537BE" w:rsidRDefault="006B7B8E" w:rsidP="005C015F">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Update terms and conditions to include explicit clauses permitting data sharing with KRA.</w:t>
            </w:r>
          </w:p>
          <w:p w14:paraId="53B5809C" w14:textId="0DCDF7C3" w:rsidR="006B7B8E" w:rsidRPr="004537BE" w:rsidRDefault="006B7B8E" w:rsidP="005C015F">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Develop new frameworks for obtaining informed consent from customers, potentially at significant administrative and legal cost.</w:t>
            </w:r>
          </w:p>
        </w:tc>
      </w:tr>
      <w:tr w:rsidR="006B7B8E" w:rsidRPr="004537BE" w14:paraId="3B0C03AA" w14:textId="77777777" w:rsidTr="005C015F">
        <w:tc>
          <w:tcPr>
            <w:tcW w:w="151" w:type="pct"/>
          </w:tcPr>
          <w:p w14:paraId="1467DCEA" w14:textId="77777777" w:rsidR="006B7B8E" w:rsidRPr="004537BE" w:rsidRDefault="006B7B8E" w:rsidP="005C015F">
            <w:pPr>
              <w:pStyle w:val="ListParagraph"/>
              <w:numPr>
                <w:ilvl w:val="0"/>
                <w:numId w:val="14"/>
              </w:numPr>
              <w:spacing w:after="0"/>
              <w:rPr>
                <w:rFonts w:asciiTheme="minorHAnsi" w:hAnsiTheme="minorHAnsi" w:cstheme="minorHAnsi"/>
                <w:szCs w:val="20"/>
              </w:rPr>
            </w:pPr>
          </w:p>
        </w:tc>
        <w:tc>
          <w:tcPr>
            <w:tcW w:w="915" w:type="pct"/>
          </w:tcPr>
          <w:p w14:paraId="6C46B729" w14:textId="77777777" w:rsidR="006B7B8E" w:rsidRPr="004537BE" w:rsidRDefault="006B7B8E" w:rsidP="00AC5A1A">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Section 54 of the Finance Bill Clause repealing Section 77(2) of the Tax Procedures Act</w:t>
            </w:r>
          </w:p>
          <w:p w14:paraId="6FED97B4" w14:textId="77777777" w:rsidR="006B7B8E" w:rsidRPr="004537BE" w:rsidRDefault="006B7B8E" w:rsidP="005C015F">
            <w:pPr>
              <w:rPr>
                <w:rFonts w:cstheme="minorHAnsi"/>
                <w:sz w:val="20"/>
                <w:szCs w:val="20"/>
              </w:rPr>
            </w:pPr>
          </w:p>
        </w:tc>
        <w:tc>
          <w:tcPr>
            <w:tcW w:w="1219" w:type="pct"/>
          </w:tcPr>
          <w:p w14:paraId="4744DEE1" w14:textId="77777777" w:rsidR="00AC5A1A" w:rsidRPr="004537BE" w:rsidRDefault="006B7B8E" w:rsidP="005C015F">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Inclusion of weekends and holidays in appeal timelines</w:t>
            </w:r>
          </w:p>
          <w:p w14:paraId="48661724" w14:textId="0523BE36" w:rsidR="006B7B8E" w:rsidRPr="004537BE" w:rsidRDefault="006B7B8E" w:rsidP="00AC5A1A">
            <w:pPr>
              <w:pStyle w:val="ListParagraph"/>
              <w:spacing w:after="0"/>
              <w:rPr>
                <w:rFonts w:asciiTheme="minorHAnsi" w:hAnsiTheme="minorHAnsi" w:cstheme="minorHAnsi"/>
                <w:szCs w:val="20"/>
              </w:rPr>
            </w:pPr>
            <w:r w:rsidRPr="004537BE">
              <w:rPr>
                <w:rFonts w:asciiTheme="minorHAnsi" w:hAnsiTheme="minorHAnsi" w:cstheme="minorHAnsi"/>
                <w:szCs w:val="20"/>
              </w:rPr>
              <w:t xml:space="preserve">Section 77 of Tax Procedures Act is amended by repealing </w:t>
            </w:r>
            <w:proofErr w:type="gramStart"/>
            <w:r w:rsidRPr="004537BE">
              <w:rPr>
                <w:rFonts w:asciiTheme="minorHAnsi" w:hAnsiTheme="minorHAnsi" w:cstheme="minorHAnsi"/>
                <w:szCs w:val="20"/>
              </w:rPr>
              <w:t>subsection(</w:t>
            </w:r>
            <w:proofErr w:type="gramEnd"/>
            <w:r w:rsidRPr="004537BE">
              <w:rPr>
                <w:rFonts w:asciiTheme="minorHAnsi" w:hAnsiTheme="minorHAnsi" w:cstheme="minorHAnsi"/>
                <w:szCs w:val="20"/>
              </w:rPr>
              <w:t>2)</w:t>
            </w:r>
          </w:p>
        </w:tc>
        <w:tc>
          <w:tcPr>
            <w:tcW w:w="1372" w:type="pct"/>
          </w:tcPr>
          <w:p w14:paraId="0F9292E1" w14:textId="77777777" w:rsidR="006B7B8E" w:rsidRPr="004537BE" w:rsidRDefault="006B7B8E" w:rsidP="00AC5A1A">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Retain Section 77(2): “In computing the time prescribed for making an appeal or objection under this Act, Saturdays, Sundays and public holidays shall not be reckoned.”</w:t>
            </w:r>
          </w:p>
        </w:tc>
        <w:tc>
          <w:tcPr>
            <w:tcW w:w="1343" w:type="pct"/>
          </w:tcPr>
          <w:p w14:paraId="05196A34" w14:textId="77777777" w:rsidR="006B7B8E" w:rsidRPr="004537BE" w:rsidRDefault="006B7B8E" w:rsidP="00AC5A1A">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Excluding weekends and public holidays from appeal timelines provides fairness by ensuring taxpayers have adequate time to respond, especially as many offices are closed during these periods.</w:t>
            </w:r>
          </w:p>
        </w:tc>
      </w:tr>
      <w:tr w:rsidR="006B7B8E" w:rsidRPr="004537BE" w14:paraId="1843E9BD" w14:textId="77777777" w:rsidTr="005C015F">
        <w:tc>
          <w:tcPr>
            <w:tcW w:w="151" w:type="pct"/>
          </w:tcPr>
          <w:p w14:paraId="7DDF5B18" w14:textId="77777777" w:rsidR="006B7B8E" w:rsidRPr="004537BE" w:rsidRDefault="006B7B8E" w:rsidP="005C015F">
            <w:pPr>
              <w:pStyle w:val="ListParagraph"/>
              <w:numPr>
                <w:ilvl w:val="0"/>
                <w:numId w:val="14"/>
              </w:numPr>
              <w:spacing w:after="0"/>
              <w:rPr>
                <w:rFonts w:asciiTheme="minorHAnsi" w:hAnsiTheme="minorHAnsi" w:cstheme="minorHAnsi"/>
                <w:szCs w:val="20"/>
              </w:rPr>
            </w:pPr>
          </w:p>
        </w:tc>
        <w:tc>
          <w:tcPr>
            <w:tcW w:w="915" w:type="pct"/>
          </w:tcPr>
          <w:p w14:paraId="7CB69B54" w14:textId="77777777" w:rsidR="006B7B8E" w:rsidRPr="004537BE" w:rsidRDefault="006B7B8E" w:rsidP="004537BE">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New Provision for Inclusion to the Finance Bill 2025.</w:t>
            </w:r>
          </w:p>
          <w:p w14:paraId="0471F036" w14:textId="77777777" w:rsidR="006B7B8E" w:rsidRPr="004537BE" w:rsidRDefault="006B7B8E" w:rsidP="005C015F">
            <w:pPr>
              <w:rPr>
                <w:rFonts w:cstheme="minorHAnsi"/>
                <w:sz w:val="20"/>
                <w:szCs w:val="20"/>
              </w:rPr>
            </w:pPr>
          </w:p>
        </w:tc>
        <w:tc>
          <w:tcPr>
            <w:tcW w:w="1219" w:type="pct"/>
          </w:tcPr>
          <w:p w14:paraId="2219037D" w14:textId="77777777" w:rsidR="006B7B8E" w:rsidRPr="004537BE" w:rsidRDefault="006B7B8E" w:rsidP="004537BE">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Proposed amendment of Section 37 E (3)(b) (</w:t>
            </w:r>
            <w:proofErr w:type="spellStart"/>
            <w:r w:rsidRPr="004537BE">
              <w:rPr>
                <w:rFonts w:asciiTheme="minorHAnsi" w:hAnsiTheme="minorHAnsi" w:cstheme="minorHAnsi"/>
                <w:szCs w:val="20"/>
              </w:rPr>
              <w:t>i</w:t>
            </w:r>
            <w:proofErr w:type="spellEnd"/>
            <w:r w:rsidRPr="004537BE">
              <w:rPr>
                <w:rFonts w:asciiTheme="minorHAnsi" w:hAnsiTheme="minorHAnsi" w:cstheme="minorHAnsi"/>
                <w:szCs w:val="20"/>
              </w:rPr>
              <w:t>) and Section 37 E (4) of the Tax Procedures Act.</w:t>
            </w:r>
          </w:p>
        </w:tc>
        <w:tc>
          <w:tcPr>
            <w:tcW w:w="1372" w:type="pct"/>
          </w:tcPr>
          <w:p w14:paraId="5AA5B2CF" w14:textId="77777777" w:rsidR="004537BE" w:rsidRPr="004537BE" w:rsidRDefault="006B7B8E" w:rsidP="005C015F">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Proposal for amendment of Section 37 E (3)(b) (</w:t>
            </w:r>
            <w:proofErr w:type="spellStart"/>
            <w:r w:rsidRPr="004537BE">
              <w:rPr>
                <w:rFonts w:asciiTheme="minorHAnsi" w:hAnsiTheme="minorHAnsi" w:cstheme="minorHAnsi"/>
                <w:szCs w:val="20"/>
              </w:rPr>
              <w:t>i</w:t>
            </w:r>
            <w:proofErr w:type="spellEnd"/>
            <w:r w:rsidRPr="004537BE">
              <w:rPr>
                <w:rFonts w:asciiTheme="minorHAnsi" w:hAnsiTheme="minorHAnsi" w:cstheme="minorHAnsi"/>
                <w:szCs w:val="20"/>
              </w:rPr>
              <w:t>) and Section 37 E (4) of the Tax Procedures Act to read as follows as highlighted:</w:t>
            </w:r>
          </w:p>
          <w:p w14:paraId="7D1BA93A" w14:textId="77777777"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lastRenderedPageBreak/>
              <w:t>(3) For the purposes of subsection (2) —</w:t>
            </w:r>
          </w:p>
          <w:p w14:paraId="67EC2AE7" w14:textId="77777777" w:rsidR="004537BE" w:rsidRPr="004537BE" w:rsidRDefault="004537BE" w:rsidP="004537BE">
            <w:pPr>
              <w:pStyle w:val="ListParagraph"/>
              <w:spacing w:after="0"/>
              <w:rPr>
                <w:rFonts w:asciiTheme="minorHAnsi" w:hAnsiTheme="minorHAnsi" w:cstheme="minorHAnsi"/>
                <w:szCs w:val="20"/>
              </w:rPr>
            </w:pPr>
          </w:p>
          <w:p w14:paraId="06C6636B" w14:textId="7B772560"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b)</w:t>
            </w:r>
            <w:r w:rsidR="004537BE" w:rsidRPr="004537BE">
              <w:rPr>
                <w:rFonts w:asciiTheme="minorHAnsi" w:hAnsiTheme="minorHAnsi" w:cstheme="minorHAnsi"/>
                <w:szCs w:val="20"/>
              </w:rPr>
              <w:t xml:space="preserve"> </w:t>
            </w:r>
            <w:r w:rsidRPr="004537BE">
              <w:rPr>
                <w:rFonts w:asciiTheme="minorHAnsi" w:hAnsiTheme="minorHAnsi" w:cstheme="minorHAnsi"/>
                <w:szCs w:val="20"/>
              </w:rPr>
              <w:t>the amnesty shall only be granted once, if the person—</w:t>
            </w:r>
          </w:p>
          <w:p w14:paraId="294A93BA" w14:textId="2D11FD32"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w:t>
            </w:r>
            <w:proofErr w:type="spellStart"/>
            <w:r w:rsidRPr="004537BE">
              <w:rPr>
                <w:rFonts w:asciiTheme="minorHAnsi" w:hAnsiTheme="minorHAnsi" w:cstheme="minorHAnsi"/>
                <w:szCs w:val="20"/>
              </w:rPr>
              <w:t>i</w:t>
            </w:r>
            <w:proofErr w:type="spellEnd"/>
            <w:r w:rsidRPr="004537BE">
              <w:rPr>
                <w:rFonts w:asciiTheme="minorHAnsi" w:hAnsiTheme="minorHAnsi" w:cstheme="minorHAnsi"/>
                <w:szCs w:val="20"/>
              </w:rPr>
              <w:t>)</w:t>
            </w:r>
            <w:r w:rsidR="004537BE" w:rsidRPr="004537BE">
              <w:rPr>
                <w:rFonts w:asciiTheme="minorHAnsi" w:hAnsiTheme="minorHAnsi" w:cstheme="minorHAnsi"/>
                <w:szCs w:val="20"/>
              </w:rPr>
              <w:t xml:space="preserve"> </w:t>
            </w:r>
            <w:r w:rsidRPr="004537BE">
              <w:rPr>
                <w:rFonts w:asciiTheme="minorHAnsi" w:hAnsiTheme="minorHAnsi" w:cstheme="minorHAnsi"/>
                <w:szCs w:val="20"/>
              </w:rPr>
              <w:t>applies for amnesty and pays all the outstanding principal taxes not later than the 30th June, 2026;</w:t>
            </w:r>
          </w:p>
          <w:p w14:paraId="262B2A9A" w14:textId="77777777" w:rsidR="004537BE" w:rsidRPr="004537BE" w:rsidRDefault="004537BE" w:rsidP="004537BE">
            <w:pPr>
              <w:pStyle w:val="ListParagraph"/>
              <w:spacing w:after="0"/>
              <w:rPr>
                <w:rFonts w:asciiTheme="minorHAnsi" w:hAnsiTheme="minorHAnsi" w:cstheme="minorHAnsi"/>
                <w:szCs w:val="20"/>
              </w:rPr>
            </w:pPr>
          </w:p>
          <w:p w14:paraId="7549A659" w14:textId="77777777"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 xml:space="preserve">(4) Despite subsection </w:t>
            </w:r>
          </w:p>
          <w:p w14:paraId="4F9977E0" w14:textId="610E1BB4" w:rsidR="006B7B8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(2), where a person has paid part of the principal tax due as on the 31st December, 2023, and has been granted amnesty on the unpaid principal tax, and interest, penalties and fines thereon, any amount that remains unpaid on the 30th June, 2026, shall attract interest and penalties for which no amnesty shall be granted.</w:t>
            </w:r>
          </w:p>
          <w:p w14:paraId="4D98A4A4" w14:textId="77777777" w:rsidR="006B7B8E" w:rsidRPr="004537BE" w:rsidRDefault="006B7B8E" w:rsidP="005C015F">
            <w:pPr>
              <w:rPr>
                <w:rFonts w:cstheme="minorHAnsi"/>
                <w:sz w:val="20"/>
                <w:szCs w:val="20"/>
              </w:rPr>
            </w:pPr>
          </w:p>
        </w:tc>
        <w:tc>
          <w:tcPr>
            <w:tcW w:w="1343" w:type="pct"/>
          </w:tcPr>
          <w:p w14:paraId="73F1005E" w14:textId="77777777" w:rsidR="006B7B8E" w:rsidRPr="004537BE" w:rsidRDefault="006B7B8E" w:rsidP="004537BE">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lastRenderedPageBreak/>
              <w:t xml:space="preserve">It is recommended that the deadline of 30th June, 2025, be extended by at least 12 months to 30th June 2026 to allow taxpayers </w:t>
            </w:r>
            <w:r w:rsidRPr="004537BE">
              <w:rPr>
                <w:rFonts w:asciiTheme="minorHAnsi" w:hAnsiTheme="minorHAnsi" w:cstheme="minorHAnsi"/>
                <w:szCs w:val="20"/>
              </w:rPr>
              <w:lastRenderedPageBreak/>
              <w:t>more time to regularize their tax affairs, particularly in cases where partial payments have already been made.</w:t>
            </w:r>
          </w:p>
          <w:p w14:paraId="7FA7F95A" w14:textId="77777777" w:rsidR="006B7B8E" w:rsidRPr="004537BE" w:rsidRDefault="006B7B8E" w:rsidP="005C015F">
            <w:pPr>
              <w:rPr>
                <w:rFonts w:cstheme="minorHAnsi"/>
                <w:sz w:val="20"/>
                <w:szCs w:val="20"/>
              </w:rPr>
            </w:pPr>
          </w:p>
          <w:p w14:paraId="6A15DE6A" w14:textId="77777777" w:rsidR="006B7B8E" w:rsidRPr="004537BE" w:rsidRDefault="006B7B8E" w:rsidP="004537BE">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 xml:space="preserve">This extension would provide relief to taxpayers who are making genuine efforts to comply, enhance voluntary compliance, and improve the overall effectiveness of the amnesty program. </w:t>
            </w:r>
          </w:p>
          <w:p w14:paraId="640277ED" w14:textId="77777777" w:rsidR="006B7B8E" w:rsidRPr="004537BE" w:rsidRDefault="006B7B8E" w:rsidP="005C015F">
            <w:pPr>
              <w:rPr>
                <w:rFonts w:cstheme="minorHAnsi"/>
                <w:sz w:val="20"/>
                <w:szCs w:val="20"/>
              </w:rPr>
            </w:pPr>
          </w:p>
          <w:p w14:paraId="4DBF9CC2" w14:textId="77777777" w:rsidR="006B7B8E" w:rsidRPr="004537BE" w:rsidRDefault="006B7B8E" w:rsidP="004537BE">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 xml:space="preserve">Extending the period would also help avoid the administrative burden of processing penalties and interest for cases that are otherwise on track for resolution such as implementation of Alternative Dispute Resolution (ADR) on </w:t>
            </w:r>
            <w:proofErr w:type="spellStart"/>
            <w:r w:rsidRPr="004537BE">
              <w:rPr>
                <w:rFonts w:asciiTheme="minorHAnsi" w:hAnsiTheme="minorHAnsi" w:cstheme="minorHAnsi"/>
                <w:szCs w:val="20"/>
              </w:rPr>
              <w:t>iTax</w:t>
            </w:r>
            <w:proofErr w:type="spellEnd"/>
            <w:r w:rsidRPr="004537BE">
              <w:rPr>
                <w:rFonts w:asciiTheme="minorHAnsi" w:hAnsiTheme="minorHAnsi" w:cstheme="minorHAnsi"/>
                <w:szCs w:val="20"/>
              </w:rPr>
              <w:t>.</w:t>
            </w:r>
          </w:p>
          <w:p w14:paraId="4AED9A43" w14:textId="77777777" w:rsidR="006B7B8E" w:rsidRPr="004537BE" w:rsidRDefault="006B7B8E" w:rsidP="005C015F">
            <w:pPr>
              <w:rPr>
                <w:rFonts w:cstheme="minorHAnsi"/>
                <w:sz w:val="20"/>
                <w:szCs w:val="20"/>
              </w:rPr>
            </w:pPr>
          </w:p>
        </w:tc>
      </w:tr>
      <w:tr w:rsidR="006B7B8E" w:rsidRPr="004537BE" w14:paraId="5EA90388" w14:textId="77777777" w:rsidTr="005C015F">
        <w:tc>
          <w:tcPr>
            <w:tcW w:w="151" w:type="pct"/>
          </w:tcPr>
          <w:p w14:paraId="006AB2A2" w14:textId="77777777" w:rsidR="006B7B8E" w:rsidRPr="004537BE" w:rsidRDefault="006B7B8E" w:rsidP="005C015F">
            <w:pPr>
              <w:pStyle w:val="ListParagraph"/>
              <w:numPr>
                <w:ilvl w:val="0"/>
                <w:numId w:val="14"/>
              </w:numPr>
              <w:spacing w:after="0"/>
              <w:rPr>
                <w:rFonts w:asciiTheme="minorHAnsi" w:hAnsiTheme="minorHAnsi" w:cstheme="minorHAnsi"/>
                <w:szCs w:val="20"/>
              </w:rPr>
            </w:pPr>
          </w:p>
        </w:tc>
        <w:tc>
          <w:tcPr>
            <w:tcW w:w="915" w:type="pct"/>
          </w:tcPr>
          <w:p w14:paraId="1853A275" w14:textId="77777777" w:rsidR="006B7B8E" w:rsidRPr="004537BE" w:rsidRDefault="006B7B8E" w:rsidP="004537BE">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New Provision for Inclusion to the Finance Bill 2025.</w:t>
            </w:r>
          </w:p>
          <w:p w14:paraId="5B8C1F6C" w14:textId="77777777" w:rsidR="006B7B8E" w:rsidRPr="004537BE" w:rsidRDefault="006B7B8E" w:rsidP="005C015F">
            <w:pPr>
              <w:rPr>
                <w:rFonts w:cstheme="minorHAnsi"/>
                <w:sz w:val="20"/>
                <w:szCs w:val="20"/>
              </w:rPr>
            </w:pPr>
          </w:p>
        </w:tc>
        <w:tc>
          <w:tcPr>
            <w:tcW w:w="1219" w:type="pct"/>
          </w:tcPr>
          <w:p w14:paraId="299E4B10" w14:textId="77777777" w:rsidR="006B7B8E" w:rsidRPr="004537BE" w:rsidRDefault="006B7B8E" w:rsidP="004537BE">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Proposed new amendment under the Tax Procedures Act.</w:t>
            </w:r>
          </w:p>
        </w:tc>
        <w:tc>
          <w:tcPr>
            <w:tcW w:w="1372" w:type="pct"/>
          </w:tcPr>
          <w:p w14:paraId="6F680BF2" w14:textId="77777777" w:rsidR="004537BE" w:rsidRPr="004537BE" w:rsidRDefault="006B7B8E" w:rsidP="005C015F">
            <w:pPr>
              <w:pStyle w:val="ListParagraph"/>
              <w:numPr>
                <w:ilvl w:val="0"/>
                <w:numId w:val="33"/>
              </w:numPr>
              <w:spacing w:after="0"/>
              <w:rPr>
                <w:rFonts w:asciiTheme="minorHAnsi" w:hAnsiTheme="minorHAnsi" w:cstheme="minorHAnsi"/>
                <w:szCs w:val="20"/>
              </w:rPr>
            </w:pPr>
            <w:r w:rsidRPr="004537BE">
              <w:rPr>
                <w:rFonts w:asciiTheme="minorHAnsi" w:hAnsiTheme="minorHAnsi" w:cstheme="minorHAnsi"/>
                <w:szCs w:val="20"/>
              </w:rPr>
              <w:t>Proposed amendment to Section 37B of the Tax Procedures Act relating to repatriation of foreign income.  This is proposed to read as follows with highlighted changes in blue.</w:t>
            </w:r>
          </w:p>
          <w:p w14:paraId="3267BC38" w14:textId="77777777"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 xml:space="preserve">37B. (1) Notwithstanding any other provision of this Act, the Commissioner shall refrain from assessing or recovering taxes, penalties or interest in respect of </w:t>
            </w:r>
            <w:r w:rsidRPr="004537BE">
              <w:rPr>
                <w:rFonts w:asciiTheme="minorHAnsi" w:hAnsiTheme="minorHAnsi" w:cstheme="minorHAnsi"/>
                <w:szCs w:val="20"/>
              </w:rPr>
              <w:lastRenderedPageBreak/>
              <w:t>any year of income ending on or before the 31st December 2024, and from following up on the sources of income under the amnesty where –</w:t>
            </w:r>
          </w:p>
          <w:p w14:paraId="05410A21" w14:textId="77777777" w:rsidR="004537BE" w:rsidRPr="004537BE" w:rsidRDefault="004537BE" w:rsidP="004537BE">
            <w:pPr>
              <w:pStyle w:val="ListParagraph"/>
              <w:spacing w:after="0"/>
              <w:rPr>
                <w:rFonts w:asciiTheme="minorHAnsi" w:hAnsiTheme="minorHAnsi" w:cstheme="minorHAnsi"/>
                <w:szCs w:val="20"/>
              </w:rPr>
            </w:pPr>
          </w:p>
          <w:p w14:paraId="2C3BA93F" w14:textId="77777777"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(a) that income has been declared for the year 2024 by a person earning taxable income outside Kenya;</w:t>
            </w:r>
          </w:p>
          <w:p w14:paraId="1A8D55C7" w14:textId="77777777" w:rsidR="004537BE" w:rsidRPr="004537BE" w:rsidRDefault="004537BE" w:rsidP="004537BE">
            <w:pPr>
              <w:pStyle w:val="ListParagraph"/>
              <w:spacing w:after="0"/>
              <w:rPr>
                <w:rFonts w:asciiTheme="minorHAnsi" w:hAnsiTheme="minorHAnsi" w:cstheme="minorHAnsi"/>
                <w:szCs w:val="20"/>
              </w:rPr>
            </w:pPr>
          </w:p>
          <w:p w14:paraId="5E59D640" w14:textId="77777777"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(b) the returns and accounts for the year 2024 are submitted on or before the 30th June 2027; and</w:t>
            </w:r>
          </w:p>
          <w:p w14:paraId="2D550515" w14:textId="77777777"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(c)the funds declared voluntarily have been transferred back to Kenya.</w:t>
            </w:r>
          </w:p>
          <w:p w14:paraId="6BA8CCDD" w14:textId="77777777"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(2) This section shall not apply in respect of any tax where the person who should have paid the tax —</w:t>
            </w:r>
          </w:p>
          <w:p w14:paraId="6D027BDD" w14:textId="77777777"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(a) has been assessed in respect of the tax or any matter relating to the tax; or</w:t>
            </w:r>
          </w:p>
          <w:p w14:paraId="272F395E" w14:textId="77777777"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(b)is under audit, investigation or is a party to ongoing litigation in respect of the undisclosed income or any matter relating to the undisclosed income.</w:t>
            </w:r>
          </w:p>
          <w:p w14:paraId="422444FE" w14:textId="77777777"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(c) has previously utilised the amnesty for the period previously prescribed.</w:t>
            </w:r>
          </w:p>
          <w:p w14:paraId="2395489A" w14:textId="77777777" w:rsidR="004537B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w:t>
            </w:r>
            <w:proofErr w:type="gramStart"/>
            <w:r w:rsidRPr="004537BE">
              <w:rPr>
                <w:rFonts w:asciiTheme="minorHAnsi" w:hAnsiTheme="minorHAnsi" w:cstheme="minorHAnsi"/>
                <w:szCs w:val="20"/>
              </w:rPr>
              <w:t>3)Where</w:t>
            </w:r>
            <w:proofErr w:type="gramEnd"/>
            <w:r w:rsidRPr="004537BE">
              <w:rPr>
                <w:rFonts w:asciiTheme="minorHAnsi" w:hAnsiTheme="minorHAnsi" w:cstheme="minorHAnsi"/>
                <w:szCs w:val="20"/>
              </w:rPr>
              <w:t xml:space="preserve"> no funds have been transferred within the period of </w:t>
            </w:r>
            <w:r w:rsidRPr="004537BE">
              <w:rPr>
                <w:rFonts w:asciiTheme="minorHAnsi" w:hAnsiTheme="minorHAnsi" w:cstheme="minorHAnsi"/>
                <w:szCs w:val="20"/>
              </w:rPr>
              <w:lastRenderedPageBreak/>
              <w:t>the amnesty, there shall be a five-year period for remittance, but a penalty of ten percent shall be levied on the remittance.</w:t>
            </w:r>
          </w:p>
          <w:p w14:paraId="27864BCD" w14:textId="100ED1DA" w:rsidR="006B7B8E" w:rsidRPr="004537BE" w:rsidRDefault="006B7B8E" w:rsidP="004537BE">
            <w:pPr>
              <w:pStyle w:val="ListParagraph"/>
              <w:spacing w:after="0"/>
              <w:rPr>
                <w:rFonts w:asciiTheme="minorHAnsi" w:hAnsiTheme="minorHAnsi" w:cstheme="minorHAnsi"/>
                <w:szCs w:val="20"/>
              </w:rPr>
            </w:pPr>
            <w:r w:rsidRPr="004537BE">
              <w:rPr>
                <w:rFonts w:asciiTheme="minorHAnsi" w:hAnsiTheme="minorHAnsi" w:cstheme="minorHAnsi"/>
                <w:szCs w:val="20"/>
              </w:rPr>
              <w:t>(</w:t>
            </w:r>
            <w:proofErr w:type="gramStart"/>
            <w:r w:rsidRPr="004537BE">
              <w:rPr>
                <w:rFonts w:asciiTheme="minorHAnsi" w:hAnsiTheme="minorHAnsi" w:cstheme="minorHAnsi"/>
                <w:szCs w:val="20"/>
              </w:rPr>
              <w:t>4)The</w:t>
            </w:r>
            <w:proofErr w:type="gramEnd"/>
            <w:r w:rsidRPr="004537BE">
              <w:rPr>
                <w:rFonts w:asciiTheme="minorHAnsi" w:hAnsiTheme="minorHAnsi" w:cstheme="minorHAnsi"/>
                <w:szCs w:val="20"/>
              </w:rPr>
              <w:t xml:space="preserve"> funds transferred under the amnesty shall be exempt from the provisions of Proceeds of Crime and Anti-Money Laundering Act, 2009, the Anti-Money Laundering (Amendment) Act of 2023 or any other Act relating to reporting and investigation of financial transactions, to the extent of the source of the funds excluding funds derived from proceeds of terrorism, poaching and drug trafficking.</w:t>
            </w:r>
          </w:p>
          <w:p w14:paraId="6616D103" w14:textId="77777777" w:rsidR="006B7B8E" w:rsidRPr="004537BE" w:rsidRDefault="006B7B8E" w:rsidP="005C015F">
            <w:pPr>
              <w:rPr>
                <w:rFonts w:cstheme="minorHAnsi"/>
                <w:sz w:val="20"/>
                <w:szCs w:val="20"/>
              </w:rPr>
            </w:pPr>
          </w:p>
        </w:tc>
        <w:tc>
          <w:tcPr>
            <w:tcW w:w="1343" w:type="pct"/>
          </w:tcPr>
          <w:p w14:paraId="6E9C2261" w14:textId="77777777" w:rsidR="004537BE" w:rsidRPr="004537BE" w:rsidRDefault="006B7B8E" w:rsidP="005C015F">
            <w:pPr>
              <w:pStyle w:val="ListParagraph"/>
              <w:numPr>
                <w:ilvl w:val="0"/>
                <w:numId w:val="34"/>
              </w:numPr>
              <w:spacing w:after="0"/>
              <w:rPr>
                <w:rFonts w:asciiTheme="minorHAnsi" w:hAnsiTheme="minorHAnsi" w:cstheme="minorHAnsi"/>
                <w:szCs w:val="20"/>
              </w:rPr>
            </w:pPr>
            <w:r w:rsidRPr="004537BE">
              <w:rPr>
                <w:rFonts w:asciiTheme="minorHAnsi" w:hAnsiTheme="minorHAnsi" w:cstheme="minorHAnsi"/>
                <w:szCs w:val="20"/>
              </w:rPr>
              <w:lastRenderedPageBreak/>
              <w:t>It is our view that the tax amnesty on foreign income repatriation introduced through the Finance Act 2018 did not result in the expected response from the public.  The amnesty was not actively taken up.</w:t>
            </w:r>
          </w:p>
          <w:p w14:paraId="05AF5D2E" w14:textId="77777777" w:rsidR="004537BE" w:rsidRPr="004537BE" w:rsidRDefault="004537BE" w:rsidP="004537BE">
            <w:pPr>
              <w:pStyle w:val="ListParagraph"/>
              <w:spacing w:after="0"/>
              <w:rPr>
                <w:rFonts w:asciiTheme="minorHAnsi" w:hAnsiTheme="minorHAnsi" w:cstheme="minorHAnsi"/>
                <w:szCs w:val="20"/>
              </w:rPr>
            </w:pPr>
          </w:p>
          <w:p w14:paraId="5FE4915A" w14:textId="76DFE05E" w:rsidR="006B7B8E" w:rsidRPr="004537BE" w:rsidRDefault="006B7B8E" w:rsidP="005C015F">
            <w:pPr>
              <w:pStyle w:val="ListParagraph"/>
              <w:numPr>
                <w:ilvl w:val="0"/>
                <w:numId w:val="34"/>
              </w:numPr>
              <w:spacing w:after="0"/>
              <w:rPr>
                <w:rFonts w:asciiTheme="minorHAnsi" w:hAnsiTheme="minorHAnsi" w:cstheme="minorHAnsi"/>
                <w:szCs w:val="20"/>
              </w:rPr>
            </w:pPr>
            <w:r w:rsidRPr="004537BE">
              <w:rPr>
                <w:rFonts w:asciiTheme="minorHAnsi" w:hAnsiTheme="minorHAnsi" w:cstheme="minorHAnsi"/>
                <w:szCs w:val="20"/>
              </w:rPr>
              <w:t xml:space="preserve">We propose a current dating of the amnesty, to offer an avenue </w:t>
            </w:r>
            <w:r w:rsidRPr="004537BE">
              <w:rPr>
                <w:rFonts w:asciiTheme="minorHAnsi" w:hAnsiTheme="minorHAnsi" w:cstheme="minorHAnsi"/>
                <w:szCs w:val="20"/>
              </w:rPr>
              <w:lastRenderedPageBreak/>
              <w:t>for the government and the country to receive funds from abroad which can contribute to bridging the fiscal deficit, currently projected at approximately 5% of GDP for the financial year 2025/2026.</w:t>
            </w:r>
          </w:p>
        </w:tc>
      </w:tr>
    </w:tbl>
    <w:p w14:paraId="6BE5F689" w14:textId="77777777" w:rsidR="006B7B8E" w:rsidRPr="005C015F" w:rsidRDefault="006B7B8E">
      <w:pPr>
        <w:rPr>
          <w:rFonts w:cstheme="minorHAnsi"/>
        </w:rPr>
      </w:pPr>
    </w:p>
    <w:sectPr w:rsidR="006B7B8E" w:rsidRPr="005C015F" w:rsidSect="00467BA5">
      <w:headerReference w:type="default" r:id="rId10"/>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F23FB" w14:textId="77777777" w:rsidR="004F1664" w:rsidRDefault="004F1664" w:rsidP="004F1664">
      <w:pPr>
        <w:spacing w:after="0" w:line="240" w:lineRule="auto"/>
      </w:pPr>
      <w:r>
        <w:separator/>
      </w:r>
    </w:p>
  </w:endnote>
  <w:endnote w:type="continuationSeparator" w:id="0">
    <w:p w14:paraId="3DB7DF73" w14:textId="77777777" w:rsidR="004F1664" w:rsidRDefault="004F1664" w:rsidP="004F1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VAGRounded-Light">
    <w:altName w:val="Calibri"/>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4432768"/>
      <w:docPartObj>
        <w:docPartGallery w:val="Page Numbers (Bottom of Page)"/>
        <w:docPartUnique/>
      </w:docPartObj>
    </w:sdtPr>
    <w:sdtEndPr>
      <w:rPr>
        <w:noProof/>
      </w:rPr>
    </w:sdtEndPr>
    <w:sdtContent>
      <w:p w14:paraId="55FE14D3" w14:textId="1ADD0DFD" w:rsidR="006B7B8E" w:rsidRDefault="006B7B8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E1456C" w14:textId="77777777" w:rsidR="006B7B8E" w:rsidRDefault="006B7B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54A20" w14:textId="77777777" w:rsidR="004F1664" w:rsidRDefault="004F1664" w:rsidP="004F1664">
      <w:pPr>
        <w:spacing w:after="0" w:line="240" w:lineRule="auto"/>
      </w:pPr>
      <w:r>
        <w:separator/>
      </w:r>
    </w:p>
  </w:footnote>
  <w:footnote w:type="continuationSeparator" w:id="0">
    <w:p w14:paraId="3774A5D9" w14:textId="77777777" w:rsidR="004F1664" w:rsidRDefault="004F1664" w:rsidP="004F16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4DF65" w14:textId="325CF0DC" w:rsidR="006B7B8E" w:rsidRDefault="006B7B8E" w:rsidP="006B7B8E">
    <w:pPr>
      <w:pStyle w:val="Header"/>
      <w:jc w:val="center"/>
    </w:pPr>
    <w:r>
      <w:rPr>
        <w:noProof/>
      </w:rPr>
      <w:drawing>
        <wp:inline distT="0" distB="0" distL="0" distR="0" wp14:anchorId="5481E524" wp14:editId="31E64586">
          <wp:extent cx="457200" cy="469324"/>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KEPSA LOGO.png"/>
                  <pic:cNvPicPr/>
                </pic:nvPicPr>
                <pic:blipFill>
                  <a:blip r:embed="rId1">
                    <a:extLst>
                      <a:ext uri="{28A0092B-C50C-407E-A947-70E740481C1C}">
                        <a14:useLocalDpi xmlns:a14="http://schemas.microsoft.com/office/drawing/2010/main" val="0"/>
                      </a:ext>
                    </a:extLst>
                  </a:blip>
                  <a:stretch>
                    <a:fillRect/>
                  </a:stretch>
                </pic:blipFill>
                <pic:spPr>
                  <a:xfrm>
                    <a:off x="0" y="0"/>
                    <a:ext cx="464881" cy="477209"/>
                  </a:xfrm>
                  <a:prstGeom prst="rect">
                    <a:avLst/>
                  </a:prstGeom>
                </pic:spPr>
              </pic:pic>
            </a:graphicData>
          </a:graphic>
        </wp:inline>
      </w:drawing>
    </w:r>
  </w:p>
  <w:p w14:paraId="3290F58C" w14:textId="77777777" w:rsidR="006B7B8E" w:rsidRDefault="006B7B8E" w:rsidP="006B7B8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650C3"/>
    <w:multiLevelType w:val="hybridMultilevel"/>
    <w:tmpl w:val="861A1BDC"/>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720" w:hanging="360"/>
      </w:pPr>
      <w:rPr>
        <w:rFonts w:ascii="Courier New" w:hAnsi="Courier New" w:cs="Courier New" w:hint="default"/>
      </w:rPr>
    </w:lvl>
    <w:lvl w:ilvl="2" w:tplc="20000005" w:tentative="1">
      <w:start w:val="1"/>
      <w:numFmt w:val="bullet"/>
      <w:lvlText w:val=""/>
      <w:lvlJc w:val="left"/>
      <w:pPr>
        <w:ind w:left="1440" w:hanging="360"/>
      </w:pPr>
      <w:rPr>
        <w:rFonts w:ascii="Wingdings" w:hAnsi="Wingdings" w:hint="default"/>
      </w:rPr>
    </w:lvl>
    <w:lvl w:ilvl="3" w:tplc="20000001" w:tentative="1">
      <w:start w:val="1"/>
      <w:numFmt w:val="bullet"/>
      <w:lvlText w:val=""/>
      <w:lvlJc w:val="left"/>
      <w:pPr>
        <w:ind w:left="2160" w:hanging="360"/>
      </w:pPr>
      <w:rPr>
        <w:rFonts w:ascii="Symbol" w:hAnsi="Symbol" w:hint="default"/>
      </w:rPr>
    </w:lvl>
    <w:lvl w:ilvl="4" w:tplc="20000003" w:tentative="1">
      <w:start w:val="1"/>
      <w:numFmt w:val="bullet"/>
      <w:lvlText w:val="o"/>
      <w:lvlJc w:val="left"/>
      <w:pPr>
        <w:ind w:left="2880" w:hanging="360"/>
      </w:pPr>
      <w:rPr>
        <w:rFonts w:ascii="Courier New" w:hAnsi="Courier New" w:cs="Courier New" w:hint="default"/>
      </w:rPr>
    </w:lvl>
    <w:lvl w:ilvl="5" w:tplc="20000005" w:tentative="1">
      <w:start w:val="1"/>
      <w:numFmt w:val="bullet"/>
      <w:lvlText w:val=""/>
      <w:lvlJc w:val="left"/>
      <w:pPr>
        <w:ind w:left="3600" w:hanging="360"/>
      </w:pPr>
      <w:rPr>
        <w:rFonts w:ascii="Wingdings" w:hAnsi="Wingdings" w:hint="default"/>
      </w:rPr>
    </w:lvl>
    <w:lvl w:ilvl="6" w:tplc="20000001" w:tentative="1">
      <w:start w:val="1"/>
      <w:numFmt w:val="bullet"/>
      <w:lvlText w:val=""/>
      <w:lvlJc w:val="left"/>
      <w:pPr>
        <w:ind w:left="4320" w:hanging="360"/>
      </w:pPr>
      <w:rPr>
        <w:rFonts w:ascii="Symbol" w:hAnsi="Symbol" w:hint="default"/>
      </w:rPr>
    </w:lvl>
    <w:lvl w:ilvl="7" w:tplc="20000003" w:tentative="1">
      <w:start w:val="1"/>
      <w:numFmt w:val="bullet"/>
      <w:lvlText w:val="o"/>
      <w:lvlJc w:val="left"/>
      <w:pPr>
        <w:ind w:left="5040" w:hanging="360"/>
      </w:pPr>
      <w:rPr>
        <w:rFonts w:ascii="Courier New" w:hAnsi="Courier New" w:cs="Courier New" w:hint="default"/>
      </w:rPr>
    </w:lvl>
    <w:lvl w:ilvl="8" w:tplc="20000005" w:tentative="1">
      <w:start w:val="1"/>
      <w:numFmt w:val="bullet"/>
      <w:lvlText w:val=""/>
      <w:lvlJc w:val="left"/>
      <w:pPr>
        <w:ind w:left="5760" w:hanging="360"/>
      </w:pPr>
      <w:rPr>
        <w:rFonts w:ascii="Wingdings" w:hAnsi="Wingdings" w:hint="default"/>
      </w:rPr>
    </w:lvl>
  </w:abstractNum>
  <w:abstractNum w:abstractNumId="1" w15:restartNumberingAfterBreak="0">
    <w:nsid w:val="03480C40"/>
    <w:multiLevelType w:val="hybridMultilevel"/>
    <w:tmpl w:val="3AEA8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B6A87"/>
    <w:multiLevelType w:val="hybridMultilevel"/>
    <w:tmpl w:val="305452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BE45723"/>
    <w:multiLevelType w:val="hybridMultilevel"/>
    <w:tmpl w:val="2878E1A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26C7B80"/>
    <w:multiLevelType w:val="hybridMultilevel"/>
    <w:tmpl w:val="3FF045CA"/>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5" w15:restartNumberingAfterBreak="0">
    <w:nsid w:val="162E148E"/>
    <w:multiLevelType w:val="hybridMultilevel"/>
    <w:tmpl w:val="006C703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8B8754B"/>
    <w:multiLevelType w:val="hybridMultilevel"/>
    <w:tmpl w:val="F3128214"/>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7" w15:restartNumberingAfterBreak="0">
    <w:nsid w:val="18D71FEF"/>
    <w:multiLevelType w:val="hybridMultilevel"/>
    <w:tmpl w:val="7C22B262"/>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8" w15:restartNumberingAfterBreak="0">
    <w:nsid w:val="21A977DF"/>
    <w:multiLevelType w:val="hybridMultilevel"/>
    <w:tmpl w:val="C91A8E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2D90E74"/>
    <w:multiLevelType w:val="hybridMultilevel"/>
    <w:tmpl w:val="5E7AFB7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576243"/>
    <w:multiLevelType w:val="hybridMultilevel"/>
    <w:tmpl w:val="13CCD9FE"/>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4C95EF3"/>
    <w:multiLevelType w:val="hybridMultilevel"/>
    <w:tmpl w:val="51BADD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034E7A"/>
    <w:multiLevelType w:val="hybridMultilevel"/>
    <w:tmpl w:val="848EA7C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A2F1174"/>
    <w:multiLevelType w:val="hybridMultilevel"/>
    <w:tmpl w:val="F0C201BE"/>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4" w15:restartNumberingAfterBreak="0">
    <w:nsid w:val="36D960C4"/>
    <w:multiLevelType w:val="hybridMultilevel"/>
    <w:tmpl w:val="A8D2F11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3A54726A"/>
    <w:multiLevelType w:val="hybridMultilevel"/>
    <w:tmpl w:val="4A646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C049DA"/>
    <w:multiLevelType w:val="hybridMultilevel"/>
    <w:tmpl w:val="D4C657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3D8B4F77"/>
    <w:multiLevelType w:val="hybridMultilevel"/>
    <w:tmpl w:val="852EC59E"/>
    <w:lvl w:ilvl="0" w:tplc="20000001">
      <w:start w:val="1"/>
      <w:numFmt w:val="bullet"/>
      <w:lvlText w:val=""/>
      <w:lvlJc w:val="left"/>
      <w:pPr>
        <w:ind w:left="643"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09A0BB2"/>
    <w:multiLevelType w:val="hybridMultilevel"/>
    <w:tmpl w:val="47FE6B0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9" w15:restartNumberingAfterBreak="0">
    <w:nsid w:val="43E74810"/>
    <w:multiLevelType w:val="hybridMultilevel"/>
    <w:tmpl w:val="1C58C1DC"/>
    <w:lvl w:ilvl="0" w:tplc="2000000F">
      <w:start w:val="1"/>
      <w:numFmt w:val="decimal"/>
      <w:lvlText w:val="%1."/>
      <w:lvlJc w:val="left"/>
      <w:pPr>
        <w:ind w:left="360" w:hanging="360"/>
      </w:pPr>
    </w:lvl>
    <w:lvl w:ilvl="1" w:tplc="C4D48BE4">
      <w:start w:val="1"/>
      <w:numFmt w:val="decimal"/>
      <w:lvlText w:val="%2)"/>
      <w:lvlJc w:val="left"/>
      <w:pPr>
        <w:ind w:left="1080" w:hanging="360"/>
      </w:pPr>
      <w:rPr>
        <w:rFonts w:hint="default"/>
      </w:r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0" w15:restartNumberingAfterBreak="0">
    <w:nsid w:val="46352D17"/>
    <w:multiLevelType w:val="hybridMultilevel"/>
    <w:tmpl w:val="018CD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02098E"/>
    <w:multiLevelType w:val="hybridMultilevel"/>
    <w:tmpl w:val="34CAA55C"/>
    <w:lvl w:ilvl="0" w:tplc="4DC26E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932644"/>
    <w:multiLevelType w:val="hybridMultilevel"/>
    <w:tmpl w:val="B92A0D6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50B16AF9"/>
    <w:multiLevelType w:val="hybridMultilevel"/>
    <w:tmpl w:val="2AFA129E"/>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55207152"/>
    <w:multiLevelType w:val="hybridMultilevel"/>
    <w:tmpl w:val="405C915E"/>
    <w:lvl w:ilvl="0" w:tplc="20000003">
      <w:start w:val="1"/>
      <w:numFmt w:val="bullet"/>
      <w:lvlText w:val="o"/>
      <w:lvlJc w:val="left"/>
      <w:pPr>
        <w:ind w:left="360" w:hanging="360"/>
      </w:pPr>
      <w:rPr>
        <w:rFonts w:ascii="Courier New" w:hAnsi="Courier New" w:cs="Courier New" w:hint="default"/>
      </w:rPr>
    </w:lvl>
    <w:lvl w:ilvl="1" w:tplc="20000003" w:tentative="1">
      <w:start w:val="1"/>
      <w:numFmt w:val="bullet"/>
      <w:lvlText w:val="o"/>
      <w:lvlJc w:val="left"/>
      <w:pPr>
        <w:ind w:left="720" w:hanging="360"/>
      </w:pPr>
      <w:rPr>
        <w:rFonts w:ascii="Courier New" w:hAnsi="Courier New" w:cs="Courier New" w:hint="default"/>
      </w:rPr>
    </w:lvl>
    <w:lvl w:ilvl="2" w:tplc="20000005" w:tentative="1">
      <w:start w:val="1"/>
      <w:numFmt w:val="bullet"/>
      <w:lvlText w:val=""/>
      <w:lvlJc w:val="left"/>
      <w:pPr>
        <w:ind w:left="1440" w:hanging="360"/>
      </w:pPr>
      <w:rPr>
        <w:rFonts w:ascii="Wingdings" w:hAnsi="Wingdings" w:hint="default"/>
      </w:rPr>
    </w:lvl>
    <w:lvl w:ilvl="3" w:tplc="20000001" w:tentative="1">
      <w:start w:val="1"/>
      <w:numFmt w:val="bullet"/>
      <w:lvlText w:val=""/>
      <w:lvlJc w:val="left"/>
      <w:pPr>
        <w:ind w:left="2160" w:hanging="360"/>
      </w:pPr>
      <w:rPr>
        <w:rFonts w:ascii="Symbol" w:hAnsi="Symbol" w:hint="default"/>
      </w:rPr>
    </w:lvl>
    <w:lvl w:ilvl="4" w:tplc="20000003" w:tentative="1">
      <w:start w:val="1"/>
      <w:numFmt w:val="bullet"/>
      <w:lvlText w:val="o"/>
      <w:lvlJc w:val="left"/>
      <w:pPr>
        <w:ind w:left="2880" w:hanging="360"/>
      </w:pPr>
      <w:rPr>
        <w:rFonts w:ascii="Courier New" w:hAnsi="Courier New" w:cs="Courier New" w:hint="default"/>
      </w:rPr>
    </w:lvl>
    <w:lvl w:ilvl="5" w:tplc="20000005" w:tentative="1">
      <w:start w:val="1"/>
      <w:numFmt w:val="bullet"/>
      <w:lvlText w:val=""/>
      <w:lvlJc w:val="left"/>
      <w:pPr>
        <w:ind w:left="3600" w:hanging="360"/>
      </w:pPr>
      <w:rPr>
        <w:rFonts w:ascii="Wingdings" w:hAnsi="Wingdings" w:hint="default"/>
      </w:rPr>
    </w:lvl>
    <w:lvl w:ilvl="6" w:tplc="20000001" w:tentative="1">
      <w:start w:val="1"/>
      <w:numFmt w:val="bullet"/>
      <w:lvlText w:val=""/>
      <w:lvlJc w:val="left"/>
      <w:pPr>
        <w:ind w:left="4320" w:hanging="360"/>
      </w:pPr>
      <w:rPr>
        <w:rFonts w:ascii="Symbol" w:hAnsi="Symbol" w:hint="default"/>
      </w:rPr>
    </w:lvl>
    <w:lvl w:ilvl="7" w:tplc="20000003" w:tentative="1">
      <w:start w:val="1"/>
      <w:numFmt w:val="bullet"/>
      <w:lvlText w:val="o"/>
      <w:lvlJc w:val="left"/>
      <w:pPr>
        <w:ind w:left="5040" w:hanging="360"/>
      </w:pPr>
      <w:rPr>
        <w:rFonts w:ascii="Courier New" w:hAnsi="Courier New" w:cs="Courier New" w:hint="default"/>
      </w:rPr>
    </w:lvl>
    <w:lvl w:ilvl="8" w:tplc="20000005" w:tentative="1">
      <w:start w:val="1"/>
      <w:numFmt w:val="bullet"/>
      <w:lvlText w:val=""/>
      <w:lvlJc w:val="left"/>
      <w:pPr>
        <w:ind w:left="5760" w:hanging="360"/>
      </w:pPr>
      <w:rPr>
        <w:rFonts w:ascii="Wingdings" w:hAnsi="Wingdings" w:hint="default"/>
      </w:rPr>
    </w:lvl>
  </w:abstractNum>
  <w:abstractNum w:abstractNumId="25" w15:restartNumberingAfterBreak="0">
    <w:nsid w:val="57C200EB"/>
    <w:multiLevelType w:val="hybridMultilevel"/>
    <w:tmpl w:val="B7AE05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D173BF"/>
    <w:multiLevelType w:val="hybridMultilevel"/>
    <w:tmpl w:val="0278261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63C42B28"/>
    <w:multiLevelType w:val="hybridMultilevel"/>
    <w:tmpl w:val="9A0079F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693C61D1"/>
    <w:multiLevelType w:val="hybridMultilevel"/>
    <w:tmpl w:val="CB84401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6FAE3444"/>
    <w:multiLevelType w:val="hybridMultilevel"/>
    <w:tmpl w:val="8B0AA31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71192A03"/>
    <w:multiLevelType w:val="hybridMultilevel"/>
    <w:tmpl w:val="4642B5AC"/>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4F32ED"/>
    <w:multiLevelType w:val="hybridMultilevel"/>
    <w:tmpl w:val="F07E949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76D76A5B"/>
    <w:multiLevelType w:val="multilevel"/>
    <w:tmpl w:val="3AC65206"/>
    <w:lvl w:ilvl="0">
      <w:start w:val="1"/>
      <w:numFmt w:val="decimal"/>
      <w:pStyle w:val="Heading-StartofSection"/>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1"/>
      <w:suff w:val="space"/>
      <w:lvlText w:val="%1.%2."/>
      <w:lvlJc w:val="left"/>
      <w:pPr>
        <w:ind w:left="792" w:hanging="432"/>
      </w:pPr>
      <w:rPr>
        <w:rFonts w:hint="default"/>
      </w:rPr>
    </w:lvl>
    <w:lvl w:ilvl="2">
      <w:start w:val="1"/>
      <w:numFmt w:val="decimal"/>
      <w:pStyle w:val="Heading2"/>
      <w:lvlText w:val="%1.%2.%3."/>
      <w:lvlJc w:val="left"/>
      <w:pPr>
        <w:ind w:left="1224" w:hanging="504"/>
      </w:pPr>
      <w:rPr>
        <w:rFonts w:hint="default"/>
      </w:rPr>
    </w:lvl>
    <w:lvl w:ilvl="3">
      <w:start w:val="1"/>
      <w:numFmt w:val="decimal"/>
      <w:pStyle w:val="Heading3"/>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80D4D1E"/>
    <w:multiLevelType w:val="hybridMultilevel"/>
    <w:tmpl w:val="8F588B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2"/>
  </w:num>
  <w:num w:numId="2">
    <w:abstractNumId w:val="11"/>
  </w:num>
  <w:num w:numId="3">
    <w:abstractNumId w:val="31"/>
  </w:num>
  <w:num w:numId="4">
    <w:abstractNumId w:val="33"/>
  </w:num>
  <w:num w:numId="5">
    <w:abstractNumId w:val="4"/>
  </w:num>
  <w:num w:numId="6">
    <w:abstractNumId w:val="2"/>
  </w:num>
  <w:num w:numId="7">
    <w:abstractNumId w:val="1"/>
  </w:num>
  <w:num w:numId="8">
    <w:abstractNumId w:val="25"/>
  </w:num>
  <w:num w:numId="9">
    <w:abstractNumId w:val="15"/>
  </w:num>
  <w:num w:numId="10">
    <w:abstractNumId w:val="20"/>
  </w:num>
  <w:num w:numId="11">
    <w:abstractNumId w:val="9"/>
  </w:num>
  <w:num w:numId="12">
    <w:abstractNumId w:val="30"/>
  </w:num>
  <w:num w:numId="13">
    <w:abstractNumId w:val="21"/>
  </w:num>
  <w:num w:numId="14">
    <w:abstractNumId w:val="19"/>
  </w:num>
  <w:num w:numId="15">
    <w:abstractNumId w:val="13"/>
  </w:num>
  <w:num w:numId="16">
    <w:abstractNumId w:val="6"/>
  </w:num>
  <w:num w:numId="17">
    <w:abstractNumId w:val="24"/>
  </w:num>
  <w:num w:numId="18">
    <w:abstractNumId w:val="0"/>
  </w:num>
  <w:num w:numId="19">
    <w:abstractNumId w:val="18"/>
  </w:num>
  <w:num w:numId="20">
    <w:abstractNumId w:val="27"/>
  </w:num>
  <w:num w:numId="21">
    <w:abstractNumId w:val="22"/>
  </w:num>
  <w:num w:numId="22">
    <w:abstractNumId w:val="23"/>
  </w:num>
  <w:num w:numId="23">
    <w:abstractNumId w:val="8"/>
  </w:num>
  <w:num w:numId="24">
    <w:abstractNumId w:val="14"/>
  </w:num>
  <w:num w:numId="25">
    <w:abstractNumId w:val="3"/>
  </w:num>
  <w:num w:numId="26">
    <w:abstractNumId w:val="10"/>
  </w:num>
  <w:num w:numId="27">
    <w:abstractNumId w:val="12"/>
  </w:num>
  <w:num w:numId="28">
    <w:abstractNumId w:val="17"/>
  </w:num>
  <w:num w:numId="29">
    <w:abstractNumId w:val="28"/>
  </w:num>
  <w:num w:numId="30">
    <w:abstractNumId w:val="5"/>
  </w:num>
  <w:num w:numId="31">
    <w:abstractNumId w:val="7"/>
  </w:num>
  <w:num w:numId="32">
    <w:abstractNumId w:val="29"/>
  </w:num>
  <w:num w:numId="33">
    <w:abstractNumId w:val="26"/>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BA5"/>
    <w:rsid w:val="000047C1"/>
    <w:rsid w:val="000476D1"/>
    <w:rsid w:val="00122F61"/>
    <w:rsid w:val="001D6E2C"/>
    <w:rsid w:val="001F2F7D"/>
    <w:rsid w:val="002108A2"/>
    <w:rsid w:val="0025473F"/>
    <w:rsid w:val="00332D78"/>
    <w:rsid w:val="00384CCA"/>
    <w:rsid w:val="003A231E"/>
    <w:rsid w:val="003C596A"/>
    <w:rsid w:val="004537BE"/>
    <w:rsid w:val="00467BA5"/>
    <w:rsid w:val="004B58C3"/>
    <w:rsid w:val="004F1664"/>
    <w:rsid w:val="005C015F"/>
    <w:rsid w:val="006061D0"/>
    <w:rsid w:val="0066757C"/>
    <w:rsid w:val="00671353"/>
    <w:rsid w:val="006B7B8E"/>
    <w:rsid w:val="006C0E4F"/>
    <w:rsid w:val="007825E6"/>
    <w:rsid w:val="007A3EC1"/>
    <w:rsid w:val="007B36D9"/>
    <w:rsid w:val="008379FA"/>
    <w:rsid w:val="008625D4"/>
    <w:rsid w:val="00962039"/>
    <w:rsid w:val="009D0646"/>
    <w:rsid w:val="00A25C2B"/>
    <w:rsid w:val="00AA119E"/>
    <w:rsid w:val="00AB28C5"/>
    <w:rsid w:val="00AB6180"/>
    <w:rsid w:val="00AC5A1A"/>
    <w:rsid w:val="00B41B54"/>
    <w:rsid w:val="00B918CD"/>
    <w:rsid w:val="00BE4ACF"/>
    <w:rsid w:val="00BF2550"/>
    <w:rsid w:val="00C65124"/>
    <w:rsid w:val="00CD7552"/>
    <w:rsid w:val="00D43AD7"/>
    <w:rsid w:val="00D47D16"/>
    <w:rsid w:val="00D52B4B"/>
    <w:rsid w:val="00DF1553"/>
    <w:rsid w:val="00E1664A"/>
    <w:rsid w:val="00E65590"/>
    <w:rsid w:val="00E91E94"/>
    <w:rsid w:val="00F55741"/>
    <w:rsid w:val="00F63E39"/>
    <w:rsid w:val="00F66530"/>
    <w:rsid w:val="00F86796"/>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53880FD"/>
  <w15:chartTrackingRefBased/>
  <w15:docId w15:val="{6C172449-8E13-44E7-9408-661D01B19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K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Heading 1.2"/>
    <w:basedOn w:val="Heading-StartofSection"/>
    <w:next w:val="Normal"/>
    <w:link w:val="Heading1Char"/>
    <w:uiPriority w:val="9"/>
    <w:qFormat/>
    <w:rsid w:val="00467BA5"/>
    <w:pPr>
      <w:numPr>
        <w:ilvl w:val="1"/>
      </w:numPr>
      <w:outlineLvl w:val="0"/>
    </w:pPr>
    <w:rPr>
      <w:sz w:val="20"/>
    </w:rPr>
  </w:style>
  <w:style w:type="paragraph" w:styleId="Heading2">
    <w:name w:val="heading 2"/>
    <w:basedOn w:val="Heading1"/>
    <w:next w:val="Normal"/>
    <w:link w:val="Heading2Char"/>
    <w:uiPriority w:val="9"/>
    <w:unhideWhenUsed/>
    <w:qFormat/>
    <w:rsid w:val="00467BA5"/>
    <w:pPr>
      <w:numPr>
        <w:ilvl w:val="2"/>
      </w:numPr>
      <w:outlineLvl w:val="1"/>
    </w:pPr>
    <w:rPr>
      <w:b w:val="0"/>
      <w:bCs/>
    </w:rPr>
  </w:style>
  <w:style w:type="paragraph" w:styleId="Heading3">
    <w:name w:val="heading 3"/>
    <w:basedOn w:val="Heading2"/>
    <w:next w:val="Normal"/>
    <w:link w:val="Heading3Char"/>
    <w:uiPriority w:val="9"/>
    <w:unhideWhenUsed/>
    <w:qFormat/>
    <w:rsid w:val="00467BA5"/>
    <w:pPr>
      <w:numPr>
        <w:ilvl w:val="3"/>
      </w:numPr>
      <w:outlineLvl w:val="2"/>
    </w:pPr>
    <w:rPr>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7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eading 1.2 Char"/>
    <w:basedOn w:val="DefaultParagraphFont"/>
    <w:link w:val="Heading1"/>
    <w:uiPriority w:val="9"/>
    <w:rsid w:val="00467BA5"/>
    <w:rPr>
      <w:rFonts w:ascii="Arial" w:hAnsi="Arial"/>
      <w:b/>
      <w:color w:val="ED7D31" w:themeColor="accent2"/>
      <w:kern w:val="0"/>
      <w:sz w:val="20"/>
      <w:lang w:val="en-US"/>
      <w14:ligatures w14:val="none"/>
    </w:rPr>
  </w:style>
  <w:style w:type="character" w:customStyle="1" w:styleId="Heading2Char">
    <w:name w:val="Heading 2 Char"/>
    <w:basedOn w:val="DefaultParagraphFont"/>
    <w:link w:val="Heading2"/>
    <w:uiPriority w:val="9"/>
    <w:rsid w:val="00467BA5"/>
    <w:rPr>
      <w:rFonts w:ascii="Arial" w:hAnsi="Arial"/>
      <w:bCs/>
      <w:color w:val="ED7D31" w:themeColor="accent2"/>
      <w:kern w:val="0"/>
      <w:sz w:val="20"/>
      <w:lang w:val="en-US"/>
      <w14:ligatures w14:val="none"/>
    </w:rPr>
  </w:style>
  <w:style w:type="character" w:customStyle="1" w:styleId="Heading3Char">
    <w:name w:val="Heading 3 Char"/>
    <w:basedOn w:val="DefaultParagraphFont"/>
    <w:link w:val="Heading3"/>
    <w:uiPriority w:val="9"/>
    <w:rsid w:val="00467BA5"/>
    <w:rPr>
      <w:rFonts w:ascii="Arial" w:hAnsi="Arial"/>
      <w:bCs/>
      <w:i/>
      <w:iCs/>
      <w:color w:val="ED7D31" w:themeColor="accent2"/>
      <w:kern w:val="0"/>
      <w:sz w:val="20"/>
      <w:szCs w:val="20"/>
      <w:lang w:val="en-US"/>
      <w14:ligatures w14:val="none"/>
    </w:rPr>
  </w:style>
  <w:style w:type="paragraph" w:customStyle="1" w:styleId="Heading-StartofSection">
    <w:name w:val="Heading - Start of Section"/>
    <w:basedOn w:val="Normal"/>
    <w:qFormat/>
    <w:rsid w:val="00467BA5"/>
    <w:pPr>
      <w:numPr>
        <w:numId w:val="1"/>
      </w:numPr>
      <w:spacing w:before="240" w:after="240" w:line="240" w:lineRule="auto"/>
    </w:pPr>
    <w:rPr>
      <w:rFonts w:ascii="Arial" w:hAnsi="Arial"/>
      <w:b/>
      <w:color w:val="ED7D31" w:themeColor="accent2"/>
      <w:kern w:val="0"/>
      <w:sz w:val="28"/>
      <w:lang w:val="en-US"/>
      <w14:ligatures w14:val="none"/>
    </w:rPr>
  </w:style>
  <w:style w:type="paragraph" w:styleId="ListParagraph">
    <w:name w:val="List Paragraph"/>
    <w:aliases w:val="Citation List,Use Case List Paragraph,H1,Bullet Points,Liste Paragraf,List Bullet-OpsManual,Table of contents numbered,List Paragraph Char Char,List Paragraph1,Bullets,Graphic,Resume Title,Ha,references,Proposal Bullet List,List 1,列出,Text"/>
    <w:basedOn w:val="Normal"/>
    <w:link w:val="ListParagraphChar"/>
    <w:uiPriority w:val="34"/>
    <w:qFormat/>
    <w:rsid w:val="00467BA5"/>
    <w:pPr>
      <w:spacing w:before="120" w:after="120" w:line="240" w:lineRule="auto"/>
      <w:ind w:left="720"/>
      <w:contextualSpacing/>
    </w:pPr>
    <w:rPr>
      <w:rFonts w:ascii="Arial" w:hAnsi="Arial"/>
      <w:kern w:val="0"/>
      <w:sz w:val="20"/>
      <w:lang w:val="en-US"/>
      <w14:ligatures w14:val="none"/>
    </w:rPr>
  </w:style>
  <w:style w:type="character" w:customStyle="1" w:styleId="ListParagraphChar">
    <w:name w:val="List Paragraph Char"/>
    <w:aliases w:val="Citation List Char,Use Case List Paragraph Char,H1 Char,Bullet Points Char,Liste Paragraf Char,List Bullet-OpsManual Char,Table of contents numbered Char,List Paragraph Char Char Char,List Paragraph1 Char,Bullets Char,Graphic Char"/>
    <w:link w:val="ListParagraph"/>
    <w:uiPriority w:val="34"/>
    <w:qFormat/>
    <w:locked/>
    <w:rsid w:val="00467BA5"/>
    <w:rPr>
      <w:rFonts w:ascii="Arial" w:hAnsi="Arial"/>
      <w:kern w:val="0"/>
      <w:sz w:val="20"/>
      <w:lang w:val="en-US"/>
      <w14:ligatures w14:val="none"/>
    </w:rPr>
  </w:style>
  <w:style w:type="paragraph" w:styleId="NormalWeb">
    <w:name w:val="Normal (Web)"/>
    <w:basedOn w:val="Normal"/>
    <w:uiPriority w:val="99"/>
    <w:unhideWhenUsed/>
    <w:rsid w:val="00467BA5"/>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FootnoteText">
    <w:name w:val="footnote text"/>
    <w:basedOn w:val="Normal"/>
    <w:link w:val="FootnoteTextChar"/>
    <w:uiPriority w:val="99"/>
    <w:semiHidden/>
    <w:unhideWhenUsed/>
    <w:rsid w:val="004F1664"/>
    <w:pPr>
      <w:spacing w:after="0" w:line="240" w:lineRule="auto"/>
    </w:pPr>
    <w:rPr>
      <w:rFonts w:ascii="Arial" w:hAnsi="Arial"/>
      <w:kern w:val="0"/>
      <w:sz w:val="20"/>
      <w:szCs w:val="20"/>
      <w:lang w:val="en-US"/>
      <w14:ligatures w14:val="none"/>
    </w:rPr>
  </w:style>
  <w:style w:type="character" w:customStyle="1" w:styleId="FootnoteTextChar">
    <w:name w:val="Footnote Text Char"/>
    <w:basedOn w:val="DefaultParagraphFont"/>
    <w:link w:val="FootnoteText"/>
    <w:uiPriority w:val="99"/>
    <w:semiHidden/>
    <w:rsid w:val="004F1664"/>
    <w:rPr>
      <w:rFonts w:ascii="Arial" w:hAnsi="Arial"/>
      <w:kern w:val="0"/>
      <w:sz w:val="20"/>
      <w:szCs w:val="20"/>
      <w:lang w:val="en-US"/>
      <w14:ligatures w14:val="none"/>
    </w:rPr>
  </w:style>
  <w:style w:type="character" w:styleId="FootnoteReference">
    <w:name w:val="footnote reference"/>
    <w:basedOn w:val="DefaultParagraphFont"/>
    <w:uiPriority w:val="99"/>
    <w:semiHidden/>
    <w:unhideWhenUsed/>
    <w:rsid w:val="004F1664"/>
    <w:rPr>
      <w:vertAlign w:val="superscript"/>
    </w:rPr>
  </w:style>
  <w:style w:type="paragraph" w:styleId="Header">
    <w:name w:val="header"/>
    <w:basedOn w:val="Normal"/>
    <w:link w:val="HeaderChar"/>
    <w:uiPriority w:val="99"/>
    <w:unhideWhenUsed/>
    <w:rsid w:val="006B7B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7B8E"/>
  </w:style>
  <w:style w:type="paragraph" w:styleId="Footer">
    <w:name w:val="footer"/>
    <w:basedOn w:val="Normal"/>
    <w:link w:val="FooterChar"/>
    <w:uiPriority w:val="99"/>
    <w:unhideWhenUsed/>
    <w:rsid w:val="006B7B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7B8E"/>
  </w:style>
  <w:style w:type="character" w:styleId="Strong">
    <w:name w:val="Strong"/>
    <w:basedOn w:val="DefaultParagraphFont"/>
    <w:uiPriority w:val="22"/>
    <w:qFormat/>
    <w:rsid w:val="002547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700485e-614b-4b4d-82c1-ec0368a6f18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22F719B2B311498FE73230A944B1FF" ma:contentTypeVersion="18" ma:contentTypeDescription="Create a new document." ma:contentTypeScope="" ma:versionID="c6fd144fdee0811ae7003f52f81397ea">
  <xsd:schema xmlns:xsd="http://www.w3.org/2001/XMLSchema" xmlns:xs="http://www.w3.org/2001/XMLSchema" xmlns:p="http://schemas.microsoft.com/office/2006/metadata/properties" xmlns:ns3="4700485e-614b-4b4d-82c1-ec0368a6f18e" xmlns:ns4="aa3acfdf-bbe4-4499-b8ea-b7e1bf0db96b" targetNamespace="http://schemas.microsoft.com/office/2006/metadata/properties" ma:root="true" ma:fieldsID="5dd6710a59aac790a6c8e56a2b213a07" ns3:_="" ns4:_="">
    <xsd:import namespace="4700485e-614b-4b4d-82c1-ec0368a6f18e"/>
    <xsd:import namespace="aa3acfdf-bbe4-4499-b8ea-b7e1bf0db96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0485e-614b-4b4d-82c1-ec0368a6f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3acfdf-bbe4-4499-b8ea-b7e1bf0db96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DE4A63-46B9-4C38-8800-20163A5626D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700485e-614b-4b4d-82c1-ec0368a6f18e"/>
    <ds:schemaRef ds:uri="http://purl.org/dc/elements/1.1/"/>
    <ds:schemaRef ds:uri="aa3acfdf-bbe4-4499-b8ea-b7e1bf0db96b"/>
    <ds:schemaRef ds:uri="http://www.w3.org/XML/1998/namespace"/>
    <ds:schemaRef ds:uri="http://purl.org/dc/dcmitype/"/>
  </ds:schemaRefs>
</ds:datastoreItem>
</file>

<file path=customXml/itemProps2.xml><?xml version="1.0" encoding="utf-8"?>
<ds:datastoreItem xmlns:ds="http://schemas.openxmlformats.org/officeDocument/2006/customXml" ds:itemID="{D62F8AE6-C1A4-4391-B273-4B06B6A12188}">
  <ds:schemaRefs>
    <ds:schemaRef ds:uri="http://schemas.microsoft.com/sharepoint/v3/contenttype/forms"/>
  </ds:schemaRefs>
</ds:datastoreItem>
</file>

<file path=customXml/itemProps3.xml><?xml version="1.0" encoding="utf-8"?>
<ds:datastoreItem xmlns:ds="http://schemas.openxmlformats.org/officeDocument/2006/customXml" ds:itemID="{97F88C07-01E0-4BEE-BD43-9DA35739C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00485e-614b-4b4d-82c1-ec0368a6f18e"/>
    <ds:schemaRef ds:uri="aa3acfdf-bbe4-4499-b8ea-b7e1bf0db9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8354</Words>
  <Characters>45302</Characters>
  <Application>Microsoft Office Word</Application>
  <DocSecurity>0</DocSecurity>
  <Lines>377</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Otieno</dc:creator>
  <cp:keywords/>
  <dc:description/>
  <cp:lastModifiedBy>Emmanuel Otieno</cp:lastModifiedBy>
  <cp:revision>2</cp:revision>
  <dcterms:created xsi:type="dcterms:W3CDTF">2025-05-30T08:12:00Z</dcterms:created>
  <dcterms:modified xsi:type="dcterms:W3CDTF">2025-05-30T08:12:00Z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0x010100EE22F719B2B311498FE73230A944B1FF</vt:lpwstr>
  </property>
  <property fmtid="{D5CDD505-2E9C-101B-9397-08002B2CF9AE}" pid="3" name="GrammarlyDocumentId">
    <vt:lpwstr>1ec41127-d2f6-4335-8eed-b0984ac80f2d</vt:lpwstr>
  </property>
</Properties>
</file>